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0" distR="0" simplePos="0" relativeHeight="1024" behindDoc="0" locked="0" layoutInCell="1" allowOverlap="1">
            <wp:simplePos x="0" y="0"/>
            <wp:positionH relativeFrom="column">
              <wp:posOffset>39370</wp:posOffset>
            </wp:positionH>
            <wp:positionV relativeFrom="paragraph">
              <wp:posOffset>20320</wp:posOffset>
            </wp:positionV>
            <wp:extent cx="2494280" cy="800100"/>
            <wp:effectExtent l="0" t="0" r="1270" b="0"/>
            <wp:wrapNone/>
            <wp:docPr id="1" name="图片 2" descr="吉大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吉大标志"/>
                    <pic:cNvPicPr>
                      <a:picLocks noChangeAspect="1" noChangeArrowheads="1"/>
                    </pic:cNvPicPr>
                  </pic:nvPicPr>
                  <pic:blipFill>
                    <a:blip r:embed="rId5"/>
                    <a:stretch>
                      <a:fillRect/>
                    </a:stretch>
                  </pic:blipFill>
                  <pic:spPr>
                    <a:xfrm>
                      <a:off x="0" y="0"/>
                      <a:ext cx="2494280" cy="800100"/>
                    </a:xfrm>
                    <a:prstGeom prst="rect">
                      <a:avLst/>
                    </a:prstGeom>
                  </pic:spPr>
                </pic:pic>
              </a:graphicData>
            </a:graphic>
          </wp:anchor>
        </w:drawing>
      </w:r>
    </w:p>
    <w:p>
      <w:pPr>
        <w:spacing w:line="360" w:lineRule="auto"/>
        <w:jc w:val="center"/>
      </w:pPr>
      <w:r>
        <w:tab/>
      </w:r>
    </w:p>
    <w:p>
      <w:pPr>
        <w:spacing w:line="360" w:lineRule="auto"/>
        <w:jc w:val="center"/>
        <w:rPr>
          <w:b w:val="0"/>
          <w:bCs w:val="0"/>
        </w:rPr>
      </w:pPr>
    </w:p>
    <w:p>
      <w:pPr>
        <w:spacing w:line="360" w:lineRule="auto"/>
        <w:jc w:val="center"/>
        <w:rPr>
          <w:rFonts w:hint="default" w:ascii="宋体" w:hAnsi="宋体" w:eastAsia="宋体" w:cs="宋体"/>
          <w:b/>
          <w:bCs/>
          <w:color w:val="000000"/>
          <w:spacing w:val="-6"/>
          <w:w w:val="70"/>
          <w:sz w:val="72"/>
          <w:szCs w:val="72"/>
          <w:lang w:val="en-US" w:eastAsia="zh-CN"/>
        </w:rPr>
      </w:pPr>
      <w:bookmarkStart w:id="0" w:name="_Toc18875_WPSOffice_Level1"/>
      <w:r>
        <w:rPr>
          <w:rFonts w:hint="default" w:ascii="宋体" w:hAnsi="宋体" w:eastAsia="宋体" w:cs="宋体"/>
          <w:b/>
          <w:bCs/>
          <w:color w:val="000000"/>
          <w:spacing w:val="-6"/>
          <w:w w:val="70"/>
          <w:sz w:val="72"/>
          <w:szCs w:val="72"/>
          <w:lang w:val="en-US" w:eastAsia="zh-CN"/>
        </w:rPr>
        <w:t>信息科学与工程学院</w:t>
      </w:r>
    </w:p>
    <w:p>
      <w:pPr>
        <w:spacing w:line="360" w:lineRule="auto"/>
        <w:jc w:val="center"/>
        <w:rPr>
          <w:rFonts w:hint="eastAsia" w:ascii="宋体" w:hAnsi="宋体" w:eastAsia="宋体" w:cs="宋体"/>
          <w:b/>
          <w:bCs/>
          <w:sz w:val="22"/>
          <w:szCs w:val="28"/>
        </w:rPr>
      </w:pPr>
      <w:r>
        <w:rPr>
          <w:rFonts w:hint="eastAsia" w:ascii="宋体" w:hAnsi="宋体" w:eastAsia="宋体" w:cs="宋体"/>
          <w:b/>
          <w:bCs/>
          <w:color w:val="000000"/>
          <w:spacing w:val="-6"/>
          <w:w w:val="70"/>
          <w:sz w:val="96"/>
          <w:szCs w:val="96"/>
        </w:rPr>
        <w:t>20</w:t>
      </w:r>
      <w:r>
        <w:rPr>
          <w:rFonts w:hint="eastAsia" w:ascii="宋体" w:hAnsi="宋体" w:eastAsia="宋体" w:cs="宋体"/>
          <w:b/>
          <w:bCs/>
          <w:color w:val="000000"/>
          <w:spacing w:val="-6"/>
          <w:w w:val="70"/>
          <w:sz w:val="96"/>
          <w:szCs w:val="96"/>
          <w:lang w:val="en-US" w:eastAsia="zh-CN"/>
        </w:rPr>
        <w:t>20</w:t>
      </w:r>
      <w:r>
        <w:rPr>
          <w:rFonts w:hint="eastAsia" w:ascii="宋体" w:hAnsi="宋体" w:eastAsia="宋体" w:cs="宋体"/>
          <w:b/>
          <w:bCs/>
          <w:color w:val="000000"/>
          <w:spacing w:val="-6"/>
          <w:w w:val="70"/>
          <w:sz w:val="96"/>
          <w:szCs w:val="96"/>
          <w:lang w:eastAsia="zh-CN"/>
        </w:rPr>
        <w:t>年度</w:t>
      </w:r>
      <w:r>
        <w:rPr>
          <w:rFonts w:hint="eastAsia" w:ascii="宋体" w:hAnsi="宋体" w:eastAsia="宋体" w:cs="宋体"/>
          <w:b/>
          <w:bCs/>
          <w:color w:val="000000"/>
          <w:spacing w:val="-6"/>
          <w:w w:val="70"/>
          <w:sz w:val="96"/>
          <w:szCs w:val="96"/>
        </w:rPr>
        <w:t>就业</w:t>
      </w:r>
      <w:bookmarkEnd w:id="0"/>
      <w:r>
        <w:rPr>
          <w:rFonts w:hint="eastAsia" w:ascii="宋体" w:hAnsi="宋体" w:eastAsia="宋体" w:cs="宋体"/>
          <w:b/>
          <w:bCs/>
          <w:color w:val="000000"/>
          <w:spacing w:val="-6"/>
          <w:w w:val="70"/>
          <w:sz w:val="96"/>
          <w:szCs w:val="96"/>
        </w:rPr>
        <w:t>质量报告</w:t>
      </w:r>
    </w:p>
    <w:p>
      <w:pPr>
        <w:spacing w:line="360" w:lineRule="auto"/>
        <w:jc w:val="center"/>
        <w:rPr>
          <w:rFonts w:ascii="仿宋_GB2312" w:hAnsi="仿宋_GB2312" w:eastAsia="仿宋_GB2312"/>
          <w:color w:val="000000"/>
          <w:sz w:val="72"/>
          <w:szCs w:val="72"/>
        </w:rPr>
      </w:pPr>
    </w:p>
    <w:p>
      <w:pPr>
        <w:spacing w:line="360" w:lineRule="auto"/>
        <w:jc w:val="center"/>
        <w:rPr>
          <w:rFonts w:hint="eastAsia" w:ascii="仿宋_GB2312" w:hAnsi="仿宋_GB2312" w:eastAsia="仿宋_GB2312"/>
          <w:color w:val="000000"/>
          <w:sz w:val="72"/>
          <w:szCs w:val="72"/>
          <w:lang w:eastAsia="zh-CN"/>
        </w:rPr>
      </w:pPr>
      <w:r>
        <w:rPr>
          <w:rFonts w:hint="eastAsia" w:ascii="仿宋_GB2312" w:hAnsi="仿宋_GB2312" w:eastAsia="仿宋_GB2312"/>
          <w:color w:val="000000"/>
          <w:sz w:val="72"/>
          <w:szCs w:val="72"/>
          <w:lang w:eastAsia="zh-CN"/>
        </w:rPr>
        <w:drawing>
          <wp:inline distT="0" distB="0" distL="114300" distR="114300">
            <wp:extent cx="4975860" cy="4201795"/>
            <wp:effectExtent l="15875" t="0" r="56515" b="87630"/>
            <wp:docPr id="7" name="图片 7" descr="微信截图_2020120910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1209102649"/>
                    <pic:cNvPicPr>
                      <a:picLocks noChangeAspect="1"/>
                    </pic:cNvPicPr>
                  </pic:nvPicPr>
                  <pic:blipFill>
                    <a:blip r:embed="rId6"/>
                    <a:stretch>
                      <a:fillRect/>
                    </a:stretch>
                  </pic:blipFill>
                  <pic:spPr>
                    <a:xfrm>
                      <a:off x="0" y="0"/>
                      <a:ext cx="4975860" cy="4201795"/>
                    </a:xfrm>
                    <a:prstGeom prst="rect">
                      <a:avLst/>
                    </a:prstGeom>
                    <a:effectLst>
                      <a:outerShdw blurRad="50800" dist="38100" dir="2700000" algn="tl" rotWithShape="0">
                        <a:prstClr val="black">
                          <a:alpha val="40000"/>
                        </a:prstClr>
                      </a:outerShdw>
                      <a:softEdge rad="127000"/>
                    </a:effectLst>
                  </pic:spPr>
                </pic:pic>
              </a:graphicData>
            </a:graphic>
          </wp:inline>
        </w:drawing>
      </w:r>
    </w:p>
    <w:p>
      <w:pPr>
        <w:jc w:val="center"/>
        <w:rPr>
          <w:rFonts w:hint="default" w:ascii="Times New Roman" w:hAnsi="Times New Roman" w:eastAsia="仿宋" w:cs="Times New Roman"/>
          <w:b/>
          <w:bCs/>
          <w:color w:val="000000"/>
          <w:sz w:val="44"/>
          <w:szCs w:val="44"/>
        </w:rPr>
      </w:pPr>
      <w:bookmarkStart w:id="1" w:name="_Toc22544_WPSOffice_Level1"/>
    </w:p>
    <w:p>
      <w:pPr>
        <w:jc w:val="center"/>
        <w:rPr>
          <w:rFonts w:hint="default" w:ascii="Times New Roman" w:hAnsi="Times New Roman" w:eastAsia="仿宋" w:cs="Times New Roman"/>
          <w:b/>
          <w:bCs/>
          <w:color w:val="000000"/>
          <w:sz w:val="44"/>
          <w:szCs w:val="44"/>
        </w:rPr>
      </w:pPr>
    </w:p>
    <w:p>
      <w:pPr>
        <w:jc w:val="center"/>
        <w:rPr>
          <w:rFonts w:hint="default" w:ascii="Times New Roman" w:hAnsi="Times New Roman" w:eastAsia="仿宋" w:cs="Times New Roman"/>
          <w:b/>
          <w:bCs/>
        </w:rPr>
        <w:sectPr>
          <w:pgSz w:w="11906" w:h="16838"/>
          <w:pgMar w:top="1440" w:right="1800" w:bottom="1440" w:left="1800" w:header="0" w:footer="0" w:gutter="0"/>
          <w:pgNumType w:fmt="decimal"/>
          <w:formProt w:val="0"/>
          <w:docGrid w:type="lines" w:linePitch="312" w:charSpace="0"/>
        </w:sectPr>
      </w:pPr>
      <w:r>
        <w:rPr>
          <w:rFonts w:hint="default" w:ascii="Times New Roman" w:hAnsi="Times New Roman" w:eastAsia="仿宋" w:cs="Times New Roman"/>
          <w:b/>
          <w:bCs/>
          <w:color w:val="000000"/>
          <w:sz w:val="44"/>
          <w:szCs w:val="44"/>
        </w:rPr>
        <w:t>20</w:t>
      </w:r>
      <w:r>
        <w:rPr>
          <w:rFonts w:hint="eastAsia" w:ascii="Times New Roman" w:hAnsi="Times New Roman" w:eastAsia="仿宋" w:cs="Times New Roman"/>
          <w:b/>
          <w:bCs/>
          <w:color w:val="000000"/>
          <w:sz w:val="44"/>
          <w:szCs w:val="44"/>
          <w:lang w:val="en-US" w:eastAsia="zh-CN"/>
        </w:rPr>
        <w:t>20</w:t>
      </w:r>
      <w:r>
        <w:rPr>
          <w:rFonts w:hint="default" w:ascii="Times New Roman" w:hAnsi="Times New Roman" w:eastAsia="仿宋" w:cs="Times New Roman"/>
          <w:b/>
          <w:bCs/>
          <w:color w:val="000000"/>
          <w:sz w:val="44"/>
          <w:szCs w:val="44"/>
        </w:rPr>
        <w:t>年12月</w:t>
      </w:r>
      <w:bookmarkEnd w:id="1"/>
    </w:p>
    <w:p>
      <w:pPr>
        <w:jc w:val="center"/>
        <w:rPr>
          <w:rFonts w:hint="eastAsia" w:ascii="宋体" w:hAnsi="宋体" w:eastAsia="宋体" w:cs="宋体"/>
          <w:b/>
          <w:bCs/>
          <w:color w:val="000000"/>
          <w:kern w:val="0"/>
          <w:sz w:val="28"/>
          <w:szCs w:val="28"/>
          <w:highlight w:val="white"/>
        </w:rPr>
      </w:pPr>
      <w:r>
        <w:rPr>
          <w:rFonts w:hint="eastAsia" w:ascii="宋体" w:hAnsi="宋体" w:eastAsia="宋体" w:cs="宋体"/>
          <w:b/>
          <w:bCs/>
          <w:color w:val="000000"/>
          <w:kern w:val="0"/>
          <w:sz w:val="32"/>
          <w:szCs w:val="32"/>
          <w:shd w:val="clear" w:fill="FFFFFF"/>
        </w:rPr>
        <w:t>学院简介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吉首大学信息科学与工程学院成立于2011年7月，现有计算机科学与技术、电子信息工程、通信工程、电气工程及其自动化、数据科学与大数据技术5个本科专业。其中，通信工程为湖南省一流本科建设专业、吉首大学“十三五”综合改革试点专业，计算机科学与技术为校级重点建设专业，电子信息工程专业综合评价全省排名第8名。学院拥有电子信息专业硕士学位点，信息与通信工程一级学科为吉首大学省内一流培育学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学院现有全日制本科生、硕士生1</w:t>
      </w:r>
      <w:r>
        <w:rPr>
          <w:rFonts w:hint="eastAsia" w:ascii="宋体" w:hAnsi="宋体" w:eastAsia="宋体" w:cs="宋体"/>
          <w:sz w:val="28"/>
          <w:szCs w:val="28"/>
          <w:lang w:val="en-US" w:eastAsia="zh-CN"/>
        </w:rPr>
        <w:t>63</w:t>
      </w:r>
      <w:r>
        <w:rPr>
          <w:rFonts w:hint="eastAsia" w:ascii="宋体" w:hAnsi="宋体" w:eastAsia="宋体" w:cs="宋体"/>
          <w:sz w:val="28"/>
          <w:szCs w:val="28"/>
        </w:rPr>
        <w:t>0余人，来自全国25个省市区。学院现有教职工6</w:t>
      </w:r>
      <w:r>
        <w:rPr>
          <w:rFonts w:hint="eastAsia" w:ascii="宋体" w:hAnsi="宋体" w:eastAsia="宋体" w:cs="宋体"/>
          <w:sz w:val="28"/>
          <w:szCs w:val="28"/>
          <w:lang w:val="en-US" w:eastAsia="zh-CN"/>
        </w:rPr>
        <w:t>8</w:t>
      </w:r>
      <w:bookmarkStart w:id="60" w:name="_GoBack"/>
      <w:bookmarkEnd w:id="60"/>
      <w:r>
        <w:rPr>
          <w:rFonts w:hint="eastAsia" w:ascii="宋体" w:hAnsi="宋体" w:eastAsia="宋体" w:cs="宋体"/>
          <w:sz w:val="28"/>
          <w:szCs w:val="28"/>
        </w:rPr>
        <w:t>人，其中教授5人、副教授21人，博士和在读博士21人，具有硕士及以上学位的教师超过89%。学院拥有湖南省121人才工程1人、湖南省青年骨干教师5人、湖南省教学能手2人、湖南省“我最喜爱的青年教师”1人。近年来，学院教师在教学竞赛中屡获佳绩，共获得省级一等奖2项、二等奖6项、三等奖5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近年来，学院教师主持国家自然科学基金项目17项、省自然科学基金等省级科研项目30余项，在IEEE Transactions系列期刊、电子学报和通信学报等权威期刊上发表高水平论文100余篇。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学院建有计算机与网络工程、电子与通信技术、电气工程及其自动化三大实验室，37个实验分室，拥有各类先进的仪器设备，总值达2600多万元。学院与中国联通、国家电网怀化供电公司、长沙达内软件有限公司等多个校外实习实训基地联合开展专业建设与人才培养工作。学院“电子信息类专业校企合作创新创业教育基地”为省级创新创业教育基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近年来，学院学生参加创新创业获得国家级奖项60余项、省级奖项120余项，其中，2015年“挑战杯”大赛中获得湖南省一等奖；2014年湖南省“创青春”大学生创业大赛获得银奖；2015届毕业生张果入选“2016年大学生创业英雄100强”；在ACM国际大学生程序设计大赛亚洲区域赛中连续三年获得银奖，在湖南省大学生计算机程序设计大赛中连续四年获省一等奖；在2017年全国大学生电子设计竞赛中获全国二等奖和省一等奖；在2017年度“芙蓉学子•榜样力量”优秀大学生中凌点软件技术创新团队获得团队合作奖、李卫东获得经济管理之星奖，在2018年度“芙蓉学子•榜样力量”优秀大学生中“绿创”电子科技创新团队获得学术创新奖；2016级通信工程专业彭浩然同学荣获“2020年度湖南省普通高校百名优秀大学生党员”称号。</w:t>
      </w: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sdt>
      <w:sdtPr>
        <w:id w:val="0"/>
        <w:docPartObj>
          <w:docPartGallery w:val="Table of Contents"/>
          <w:docPartUnique/>
        </w:docPartObj>
      </w:sdtPr>
      <w:sdtEndPr>
        <w:rPr>
          <w:rFonts w:hint="default" w:ascii="Times New Roman" w:hAnsi="Times New Roman" w:eastAsia="宋体" w:cs="Times New Roman"/>
        </w:rPr>
      </w:sdtEndPr>
      <w:sdtContent>
        <w:p>
          <w:pPr>
            <w:spacing w:before="0" w:after="0" w:line="240" w:lineRule="auto"/>
            <w:ind w:left="420" w:right="0" w:firstLine="0"/>
            <w:jc w:val="center"/>
            <w:rPr>
              <w:rFonts w:hint="default" w:ascii="Times New Roman" w:hAnsi="Times New Roman" w:eastAsia="宋体" w:cs="Times New Roman"/>
            </w:rPr>
          </w:pPr>
          <w:r>
            <w:rPr>
              <w:rFonts w:hint="default" w:ascii="Times New Roman" w:hAnsi="Times New Roman" w:eastAsia="宋体" w:cs="Times New Roman"/>
              <w:sz w:val="44"/>
              <w:szCs w:val="44"/>
            </w:rPr>
            <w:t>目录</w:t>
          </w:r>
        </w:p>
        <w:p>
          <w:pPr>
            <w:pStyle w:val="10"/>
            <w:tabs>
              <w:tab w:val="right" w:leader="dot" w:pos="8306"/>
            </w:tabs>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Style w:val="21"/>
              <w:rFonts w:hint="default" w:ascii="Times New Roman" w:hAnsi="Times New Roman" w:eastAsia="宋体" w:cs="Times New Roman"/>
              <w:vanish w:val="0"/>
              <w:sz w:val="24"/>
              <w:szCs w:val="24"/>
            </w:rPr>
            <w:instrText xml:space="preserve">TOC \z \o "1-3" \u \h</w:instrText>
          </w:r>
          <w:r>
            <w:rPr>
              <w:rStyle w:val="21"/>
              <w:rFonts w:hint="default" w:ascii="Times New Roman" w:hAnsi="Times New Roman" w:eastAsia="宋体" w:cs="Times New Roman"/>
              <w:vanish w:val="0"/>
              <w:sz w:val="24"/>
              <w:szCs w:val="24"/>
            </w:rPr>
            <w:fldChar w:fldCharType="separate"/>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HYPERLINK \l "_Toc14945"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lang w:eastAsia="zh-CN"/>
            </w:rPr>
            <w:t>一、</w:t>
          </w:r>
          <w:r>
            <w:rPr>
              <w:rFonts w:hint="default" w:ascii="Times New Roman" w:hAnsi="Times New Roman" w:eastAsia="宋体" w:cs="Times New Roman"/>
              <w:b/>
              <w:bCs/>
              <w:sz w:val="24"/>
              <w:szCs w:val="24"/>
              <w:lang w:val="en-US" w:eastAsia="zh-CN"/>
            </w:rPr>
            <w:t xml:space="preserve"> 2020届</w:t>
          </w:r>
          <w:r>
            <w:rPr>
              <w:rStyle w:val="21"/>
              <w:rFonts w:hint="default" w:ascii="Times New Roman" w:hAnsi="Times New Roman" w:eastAsia="宋体" w:cs="Times New Roman"/>
              <w:b/>
              <w:bCs/>
              <w:vanish w:val="0"/>
              <w:sz w:val="24"/>
              <w:szCs w:val="24"/>
            </w:rPr>
            <w:t>毕业生</w:t>
          </w:r>
          <w:r>
            <w:rPr>
              <w:rStyle w:val="21"/>
              <w:rFonts w:hint="default" w:ascii="Times New Roman" w:hAnsi="Times New Roman" w:eastAsia="宋体" w:cs="Times New Roman"/>
              <w:b/>
              <w:bCs/>
              <w:vanish w:val="0"/>
              <w:sz w:val="24"/>
              <w:szCs w:val="24"/>
              <w:lang w:eastAsia="zh-CN"/>
            </w:rPr>
            <w:t>基本情况</w:t>
          </w:r>
          <w:r>
            <w:rPr>
              <w:rStyle w:val="21"/>
              <w:rFonts w:hint="default" w:ascii="Times New Roman" w:hAnsi="Times New Roman" w:eastAsia="宋体" w:cs="Times New Roman"/>
              <w:b/>
              <w:bCs/>
              <w:sz w:val="24"/>
              <w:szCs w:val="24"/>
            </w:rPr>
            <w:tab/>
          </w:r>
          <w:r>
            <w:rPr>
              <w:rStyle w:val="21"/>
              <w:rFonts w:hint="default" w:ascii="Times New Roman" w:hAnsi="Times New Roman" w:eastAsia="宋体" w:cs="Times New Roman"/>
              <w:b/>
              <w:bCs/>
              <w:sz w:val="24"/>
              <w:szCs w:val="24"/>
            </w:rPr>
            <w:fldChar w:fldCharType="end"/>
          </w:r>
          <w:r>
            <w:rPr>
              <w:rFonts w:hint="default" w:ascii="Times New Roman" w:hAnsi="Times New Roman" w:eastAsia="宋体" w:cs="Times New Roman"/>
              <w:sz w:val="24"/>
              <w:szCs w:val="24"/>
              <w:lang w:val="en-US" w:eastAsia="zh-CN"/>
            </w:rPr>
            <w:t>4</w:t>
          </w:r>
        </w:p>
        <w:p>
          <w:pPr>
            <w:pStyle w:val="12"/>
            <w:tabs>
              <w:tab w:val="right" w:leader="dot" w:pos="8306"/>
              <w:tab w:val="clear" w:pos="8296"/>
            </w:tabs>
            <w:spacing w:line="360" w:lineRule="auto"/>
            <w:ind w:left="0" w:lef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"_Toc15917"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lang w:val="en-US" w:eastAsia="zh-CN"/>
            </w:rPr>
            <w:t>1、性别构成</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t>4</w:t>
          </w:r>
        </w:p>
        <w:p>
          <w:pPr>
            <w:pStyle w:val="12"/>
            <w:tabs>
              <w:tab w:val="right" w:leader="dot" w:pos="8306"/>
              <w:tab w:val="clear" w:pos="8296"/>
            </w:tabs>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w:t>
          </w:r>
          <w:r>
            <w:rPr>
              <w:rStyle w:val="21"/>
              <w:rFonts w:hint="default" w:ascii="Times New Roman" w:hAnsi="Times New Roman" w:eastAsia="宋体" w:cs="Times New Roman"/>
              <w:vanish w:val="0"/>
              <w:sz w:val="24"/>
              <w:szCs w:val="24"/>
              <w:lang w:val="en-US" w:eastAsia="zh-CN"/>
            </w:rPr>
            <w:t>、城乡生源分布</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Style w:val="21"/>
              <w:rFonts w:hint="default" w:ascii="Times New Roman" w:hAnsi="Times New Roman" w:eastAsia="宋体" w:cs="Times New Roman"/>
              <w:sz w:val="24"/>
              <w:szCs w:val="24"/>
              <w:lang w:val="en-US" w:eastAsia="zh-CN"/>
            </w:rPr>
            <w:t>4</w:t>
          </w:r>
        </w:p>
        <w:p>
          <w:pPr>
            <w:pStyle w:val="12"/>
            <w:tabs>
              <w:tab w:val="right" w:leader="dot" w:pos="8306"/>
              <w:tab w:val="clear" w:pos="8296"/>
            </w:tabs>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"_Toc15917"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lang w:val="en-US" w:eastAsia="zh-CN"/>
            </w:rPr>
            <w:t>3、各专业人数</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t>5</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HYPERLINK \l "_Toc15917" \h </w:instrText>
          </w:r>
          <w:r>
            <w:rPr>
              <w:rFonts w:hint="default" w:ascii="Times New Roman" w:hAnsi="Times New Roman" w:eastAsia="宋体" w:cs="Times New Roman"/>
              <w:b/>
              <w:bCs/>
              <w:sz w:val="24"/>
              <w:szCs w:val="24"/>
            </w:rPr>
            <w:fldChar w:fldCharType="separate"/>
          </w:r>
          <w:r>
            <w:rPr>
              <w:rStyle w:val="21"/>
              <w:rFonts w:hint="default" w:ascii="Times New Roman" w:hAnsi="Times New Roman" w:eastAsia="宋体" w:cs="Times New Roman"/>
              <w:b/>
              <w:bCs/>
              <w:vanish w:val="0"/>
              <w:sz w:val="24"/>
              <w:szCs w:val="24"/>
              <w:lang w:eastAsia="zh-CN"/>
            </w:rPr>
            <w:t>二、</w:t>
          </w:r>
          <w:r>
            <w:rPr>
              <w:rStyle w:val="21"/>
              <w:rFonts w:hint="default" w:ascii="Times New Roman" w:hAnsi="Times New Roman" w:eastAsia="宋体" w:cs="Times New Roman"/>
              <w:b/>
              <w:bCs/>
              <w:vanish w:val="0"/>
              <w:sz w:val="24"/>
              <w:szCs w:val="24"/>
              <w:lang w:val="en-US" w:eastAsia="zh-CN"/>
            </w:rPr>
            <w:t>2020届毕业生就业情况</w:t>
          </w:r>
          <w:r>
            <w:rPr>
              <w:rStyle w:val="21"/>
              <w:rFonts w:hint="default" w:ascii="Times New Roman" w:hAnsi="Times New Roman" w:eastAsia="宋体" w:cs="Times New Roman"/>
              <w:b/>
              <w:bCs/>
              <w:sz w:val="24"/>
              <w:szCs w:val="24"/>
            </w:rPr>
            <w:tab/>
          </w:r>
          <w:r>
            <w:rPr>
              <w:rStyle w:val="21"/>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rPr>
            <w:t>6</w:t>
          </w:r>
        </w:p>
        <w:p>
          <w:pPr>
            <w:pStyle w:val="12"/>
            <w:tabs>
              <w:tab w:val="right" w:leader="dot" w:pos="8306"/>
              <w:tab w:val="clear" w:pos="829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"_Toc29617"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lang w:val="en-US" w:eastAsia="zh-CN"/>
            </w:rPr>
            <w:t>1、</w:t>
          </w:r>
          <w:r>
            <w:rPr>
              <w:rStyle w:val="21"/>
              <w:rFonts w:hint="default" w:ascii="Times New Roman" w:hAnsi="Times New Roman" w:eastAsia="宋体" w:cs="Times New Roman"/>
              <w:vanish w:val="0"/>
              <w:sz w:val="24"/>
              <w:szCs w:val="24"/>
              <w:lang w:eastAsia="zh-CN"/>
            </w:rPr>
            <w:t>毕业生各专业就业率</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6</w:t>
          </w:r>
        </w:p>
        <w:p>
          <w:pPr>
            <w:pStyle w:val="12"/>
            <w:tabs>
              <w:tab w:val="right" w:leader="dot" w:pos="8306"/>
              <w:tab w:val="clear" w:pos="829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"_Toc29617"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lang w:val="en-US" w:eastAsia="zh-CN"/>
            </w:rPr>
            <w:t>2、毕业生就业形式统计</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6</w:t>
          </w:r>
        </w:p>
        <w:p>
          <w:pPr>
            <w:pStyle w:val="12"/>
            <w:tabs>
              <w:tab w:val="right" w:leader="dot" w:pos="8306"/>
              <w:tab w:val="clear" w:pos="8296"/>
            </w:tabs>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"_Toc29617"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lang w:val="en-US" w:eastAsia="zh-CN"/>
            </w:rPr>
            <w:t>3、毕业生就业单位性质分析</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Style w:val="21"/>
              <w:rFonts w:hint="default" w:ascii="Times New Roman" w:hAnsi="Times New Roman" w:eastAsia="宋体" w:cs="Times New Roman"/>
              <w:sz w:val="24"/>
              <w:szCs w:val="24"/>
              <w:lang w:val="en-US" w:eastAsia="zh-CN"/>
            </w:rPr>
            <w:t>7</w:t>
          </w:r>
        </w:p>
        <w:p>
          <w:pPr>
            <w:pStyle w:val="12"/>
            <w:tabs>
              <w:tab w:val="right" w:leader="dot" w:pos="8306"/>
              <w:tab w:val="clear" w:pos="8296"/>
            </w:tabs>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w:t>
          </w:r>
          <w:r>
            <w:rPr>
              <w:rStyle w:val="21"/>
              <w:rFonts w:hint="default" w:ascii="Times New Roman" w:hAnsi="Times New Roman" w:eastAsia="宋体" w:cs="Times New Roman"/>
              <w:vanish w:val="0"/>
              <w:sz w:val="24"/>
              <w:szCs w:val="24"/>
              <w:lang w:val="en-US" w:eastAsia="zh-CN"/>
            </w:rPr>
            <w:t>、毕业生就业单位行业分析</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Style w:val="21"/>
              <w:rFonts w:hint="default" w:ascii="Times New Roman" w:hAnsi="Times New Roman" w:eastAsia="宋体" w:cs="Times New Roman"/>
              <w:sz w:val="24"/>
              <w:szCs w:val="24"/>
              <w:lang w:val="en-US" w:eastAsia="zh-CN"/>
            </w:rPr>
            <w:t>8</w:t>
          </w:r>
        </w:p>
        <w:p>
          <w:pPr>
            <w:pStyle w:val="12"/>
            <w:tabs>
              <w:tab w:val="right" w:leader="dot" w:pos="8306"/>
              <w:tab w:val="clear" w:pos="8296"/>
            </w:tabs>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w:t>
          </w:r>
          <w:r>
            <w:rPr>
              <w:rStyle w:val="21"/>
              <w:rFonts w:hint="default" w:ascii="Times New Roman" w:hAnsi="Times New Roman" w:eastAsia="宋体" w:cs="Times New Roman"/>
              <w:vanish w:val="0"/>
              <w:sz w:val="24"/>
              <w:szCs w:val="24"/>
              <w:lang w:val="en-US" w:eastAsia="zh-CN"/>
            </w:rPr>
            <w:t>、毕业生地域流向</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t>9</w:t>
          </w:r>
        </w:p>
        <w:p>
          <w:pPr>
            <w:pStyle w:val="12"/>
            <w:tabs>
              <w:tab w:val="right" w:leader="dot" w:pos="8306"/>
              <w:tab w:val="clear" w:pos="8296"/>
            </w:tabs>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"_Toc15917"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lang w:val="en-US" w:eastAsia="zh-CN"/>
            </w:rPr>
            <w:t>6、毕业生继续深造情况</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t>9</w:t>
          </w:r>
        </w:p>
        <w:p>
          <w:pPr>
            <w:pStyle w:val="10"/>
            <w:tabs>
              <w:tab w:val="right" w:leader="dot" w:pos="8306"/>
            </w:tabs>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HYPERLINK \l "_Toc4262" \h </w:instrText>
          </w:r>
          <w:r>
            <w:rPr>
              <w:rFonts w:hint="default" w:ascii="Times New Roman" w:hAnsi="Times New Roman" w:eastAsia="宋体" w:cs="Times New Roman"/>
              <w:b/>
              <w:bCs/>
              <w:sz w:val="24"/>
              <w:szCs w:val="24"/>
            </w:rPr>
            <w:fldChar w:fldCharType="separate"/>
          </w:r>
          <w:r>
            <w:rPr>
              <w:rStyle w:val="21"/>
              <w:rFonts w:hint="default" w:ascii="Times New Roman" w:hAnsi="Times New Roman" w:eastAsia="宋体" w:cs="Times New Roman"/>
              <w:b/>
              <w:bCs/>
              <w:vanish w:val="0"/>
              <w:sz w:val="24"/>
              <w:szCs w:val="24"/>
              <w:lang w:eastAsia="zh-CN"/>
            </w:rPr>
            <w:t>三</w:t>
          </w:r>
          <w:r>
            <w:rPr>
              <w:rStyle w:val="21"/>
              <w:rFonts w:hint="default" w:ascii="Times New Roman" w:hAnsi="Times New Roman" w:eastAsia="宋体" w:cs="Times New Roman"/>
              <w:b/>
              <w:bCs/>
              <w:vanish w:val="0"/>
              <w:sz w:val="24"/>
              <w:szCs w:val="24"/>
            </w:rPr>
            <w:t>、</w:t>
          </w:r>
          <w:r>
            <w:rPr>
              <w:rStyle w:val="21"/>
              <w:rFonts w:hint="default" w:ascii="Times New Roman" w:hAnsi="Times New Roman" w:eastAsia="宋体" w:cs="Times New Roman"/>
              <w:b/>
              <w:bCs/>
              <w:vanish w:val="0"/>
              <w:sz w:val="24"/>
              <w:szCs w:val="24"/>
              <w:lang w:eastAsia="zh-CN"/>
            </w:rPr>
            <w:t>毕业生就业趋势变化</w:t>
          </w:r>
          <w:r>
            <w:rPr>
              <w:rStyle w:val="21"/>
              <w:rFonts w:hint="default" w:ascii="Times New Roman" w:hAnsi="Times New Roman" w:eastAsia="宋体" w:cs="Times New Roman"/>
              <w:b/>
              <w:bCs/>
              <w:sz w:val="24"/>
              <w:szCs w:val="24"/>
            </w:rPr>
            <w:tab/>
          </w:r>
          <w:r>
            <w:rPr>
              <w:rStyle w:val="21"/>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lang w:val="en-US" w:eastAsia="zh-CN"/>
            </w:rPr>
            <w:t>10</w:t>
          </w:r>
        </w:p>
        <w:p>
          <w:pPr>
            <w:pStyle w:val="12"/>
            <w:tabs>
              <w:tab w:val="right" w:leader="dot" w:pos="8306"/>
              <w:tab w:val="clear" w:pos="8296"/>
            </w:tabs>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"_Toc24695"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1、</w:t>
          </w:r>
          <w:r>
            <w:rPr>
              <w:rStyle w:val="21"/>
              <w:rFonts w:hint="default" w:ascii="Times New Roman" w:hAnsi="Times New Roman" w:eastAsia="宋体" w:cs="Times New Roman"/>
              <w:vanish w:val="0"/>
              <w:sz w:val="24"/>
              <w:szCs w:val="24"/>
              <w:lang w:val="en-US" w:eastAsia="zh-CN"/>
            </w:rPr>
            <w:t>2019届与2020届毕业生各专业就业率对比分析</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t>10</w:t>
          </w:r>
        </w:p>
        <w:p>
          <w:pPr>
            <w:pStyle w:val="7"/>
            <w:tabs>
              <w:tab w:val="right" w:leader="dot" w:pos="8306"/>
            </w:tabs>
            <w:spacing w:line="360" w:lineRule="auto"/>
            <w:ind w:left="0" w:lef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"_Toc28163"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sz w:val="24"/>
              <w:szCs w:val="24"/>
            </w:rPr>
            <w:t>、</w:t>
          </w:r>
          <w:r>
            <w:rPr>
              <w:rStyle w:val="21"/>
              <w:rFonts w:hint="default" w:ascii="Times New Roman" w:hAnsi="Times New Roman" w:eastAsia="宋体" w:cs="Times New Roman"/>
              <w:sz w:val="24"/>
              <w:szCs w:val="24"/>
              <w:lang w:val="en-US" w:eastAsia="zh-CN"/>
            </w:rPr>
            <w:t>2019届与2020届毕业生就业单位性质对比分析</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1</w:t>
          </w:r>
        </w:p>
        <w:p>
          <w:pPr>
            <w:pStyle w:val="7"/>
            <w:tabs>
              <w:tab w:val="right" w:leader="dot" w:pos="8306"/>
            </w:tabs>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"_Toc28163"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sz w:val="24"/>
              <w:szCs w:val="24"/>
            </w:rPr>
            <w:t>、</w:t>
          </w:r>
          <w:r>
            <w:rPr>
              <w:rStyle w:val="21"/>
              <w:rFonts w:hint="default" w:ascii="Times New Roman" w:hAnsi="Times New Roman" w:eastAsia="宋体" w:cs="Times New Roman"/>
              <w:sz w:val="24"/>
              <w:szCs w:val="24"/>
              <w:lang w:val="en-US" w:eastAsia="zh-CN"/>
            </w:rPr>
            <w:t>2019届与2020届毕业生就业单位行业对比分析</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Style w:val="21"/>
              <w:rFonts w:hint="default" w:ascii="Times New Roman" w:hAnsi="Times New Roman" w:eastAsia="宋体" w:cs="Times New Roman"/>
              <w:sz w:val="24"/>
              <w:szCs w:val="24"/>
              <w:lang w:val="en-US" w:eastAsia="zh-CN"/>
            </w:rPr>
            <w:t>11</w:t>
          </w:r>
        </w:p>
        <w:p>
          <w:pPr>
            <w:pStyle w:val="7"/>
            <w:tabs>
              <w:tab w:val="right" w:leader="dot" w:pos="8306"/>
            </w:tabs>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"_Toc28163"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sz w:val="24"/>
              <w:szCs w:val="24"/>
            </w:rPr>
            <w:t>、</w:t>
          </w:r>
          <w:r>
            <w:rPr>
              <w:rStyle w:val="21"/>
              <w:rFonts w:hint="default" w:ascii="Times New Roman" w:hAnsi="Times New Roman" w:eastAsia="宋体" w:cs="Times New Roman"/>
              <w:sz w:val="24"/>
              <w:szCs w:val="24"/>
              <w:lang w:val="en-US" w:eastAsia="zh-CN"/>
            </w:rPr>
            <w:t>2019届与2020届毕业生就业区域流向趋势变化分析</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Style w:val="21"/>
              <w:rFonts w:hint="default" w:ascii="Times New Roman" w:hAnsi="Times New Roman" w:eastAsia="宋体" w:cs="Times New Roman"/>
              <w:sz w:val="24"/>
              <w:szCs w:val="24"/>
              <w:lang w:val="en-US" w:eastAsia="zh-CN"/>
            </w:rPr>
            <w:t>12</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HYPERLINK \l "_Toc6666"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lang w:eastAsia="zh-CN"/>
            </w:rPr>
            <w:t>四、毕业生就业创业工作举措</w:t>
          </w:r>
          <w:r>
            <w:rPr>
              <w:rStyle w:val="21"/>
              <w:rFonts w:hint="default" w:ascii="Times New Roman" w:hAnsi="Times New Roman" w:eastAsia="宋体" w:cs="Times New Roman"/>
              <w:b/>
              <w:bCs/>
              <w:sz w:val="24"/>
              <w:szCs w:val="24"/>
            </w:rPr>
            <w:tab/>
          </w:r>
          <w:r>
            <w:rPr>
              <w:rStyle w:val="21"/>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3</w:t>
          </w:r>
        </w:p>
        <w:p>
          <w:pPr>
            <w:pStyle w:val="12"/>
            <w:tabs>
              <w:tab w:val="right" w:leader="dot" w:pos="8306"/>
              <w:tab w:val="clear" w:pos="8296"/>
            </w:tabs>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"_Toc25646"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rPr>
            <w:t>（一）建立健全就业创业工作机制</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3</w:t>
          </w:r>
        </w:p>
        <w:p>
          <w:pPr>
            <w:pStyle w:val="12"/>
            <w:tabs>
              <w:tab w:val="right" w:leader="dot" w:pos="8306"/>
              <w:tab w:val="clear" w:pos="8296"/>
            </w:tabs>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"_Toc5666"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rPr>
            <w:t>（二）构建完善的职业发展与就业创业教育体系</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4</w:t>
          </w:r>
        </w:p>
        <w:p>
          <w:pPr>
            <w:pStyle w:val="12"/>
            <w:tabs>
              <w:tab w:val="right" w:leader="dot" w:pos="8306"/>
              <w:tab w:val="clear" w:pos="8296"/>
            </w:tabs>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end"/>
          </w:r>
          <w:bookmarkStart w:id="2" w:name="_Toc2224_WPSOffice_Level1"/>
          <w:bookmarkEnd w:id="2"/>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"_Toc5666"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三</w:t>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创新人才培养模式</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5</w:t>
          </w:r>
        </w:p>
        <w:p>
          <w:pPr>
            <w:pStyle w:val="12"/>
            <w:tabs>
              <w:tab w:val="right" w:leader="dot" w:pos="8306"/>
              <w:tab w:val="clear" w:pos="8296"/>
            </w:tabs>
            <w:spacing w:line="360" w:lineRule="auto"/>
            <w:ind w:left="0" w:leftChars="0" w:firstLine="960" w:firstLineChars="4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"_Toc5666"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val="en-US" w:eastAsia="zh-CN"/>
            </w:rPr>
            <w:t>1</w:t>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电子科技创新与竞赛工作室</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5</w:t>
          </w:r>
        </w:p>
        <w:p>
          <w:pPr>
            <w:pStyle w:val="12"/>
            <w:tabs>
              <w:tab w:val="right" w:leader="dot" w:pos="8306"/>
              <w:tab w:val="clear" w:pos="8296"/>
            </w:tabs>
            <w:spacing w:line="360" w:lineRule="auto"/>
            <w:ind w:left="0" w:leftChars="0" w:firstLine="960" w:firstLineChars="4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"_Toc5666"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val="en-US" w:eastAsia="zh-CN"/>
            </w:rPr>
            <w:t>2</w:t>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软件开发与应用创新工作室</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6</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4"/>
              <w:szCs w:val="24"/>
              <w:lang w:eastAsia="zh-CN"/>
            </w:rPr>
          </w:pPr>
          <w:r>
            <w:rPr>
              <w:rStyle w:val="21"/>
              <w:rFonts w:hint="eastAsia" w:ascii="Times New Roman" w:hAnsi="Times New Roman" w:eastAsia="宋体" w:cs="Times New Roman"/>
              <w:vanish w:val="0"/>
              <w:sz w:val="24"/>
              <w:szCs w:val="24"/>
              <w:lang w:val="en-US" w:eastAsia="zh-CN"/>
            </w:rPr>
            <w:t xml:space="preserve">                </w:t>
          </w:r>
          <w:r>
            <w:rPr>
              <w:rStyle w:val="21"/>
              <w:rFonts w:hint="default" w:ascii="Times New Roman" w:hAnsi="Times New Roman" w:eastAsia="宋体" w:cs="Times New Roman"/>
              <w:vanish w:val="0"/>
              <w:sz w:val="24"/>
              <w:szCs w:val="24"/>
              <w:lang w:eastAsia="zh-CN"/>
            </w:rPr>
            <w:fldChar w:fldCharType="begin"/>
          </w:r>
          <w:r>
            <w:rPr>
              <w:rStyle w:val="21"/>
              <w:rFonts w:hint="default" w:ascii="Times New Roman" w:hAnsi="Times New Roman" w:eastAsia="宋体" w:cs="Times New Roman"/>
              <w:vanish w:val="0"/>
              <w:sz w:val="24"/>
              <w:szCs w:val="24"/>
              <w:lang w:eastAsia="zh-CN"/>
            </w:rPr>
            <w:instrText xml:space="preserve"> HYPERLINK \l "_Toc5666" \h </w:instrText>
          </w:r>
          <w:r>
            <w:rPr>
              <w:rStyle w:val="21"/>
              <w:rFonts w:hint="default" w:ascii="Times New Roman" w:hAnsi="Times New Roman" w:eastAsia="宋体" w:cs="Times New Roman"/>
              <w:vanish w:val="0"/>
              <w:sz w:val="24"/>
              <w:szCs w:val="24"/>
              <w:lang w:eastAsia="zh-CN"/>
            </w:rPr>
            <w:fldChar w:fldCharType="separate"/>
          </w:r>
          <w:r>
            <w:rPr>
              <w:rStyle w:val="21"/>
              <w:rFonts w:hint="default" w:ascii="Times New Roman" w:hAnsi="Times New Roman" w:eastAsia="宋体" w:cs="Times New Roman"/>
              <w:vanish w:val="0"/>
              <w:sz w:val="24"/>
              <w:szCs w:val="24"/>
              <w:lang w:eastAsia="zh-CN"/>
            </w:rPr>
            <w:t>（</w:t>
          </w:r>
          <w:r>
            <w:rPr>
              <w:rStyle w:val="21"/>
              <w:rFonts w:hint="default" w:ascii="Times New Roman" w:hAnsi="Times New Roman" w:eastAsia="宋体" w:cs="Times New Roman"/>
              <w:vanish w:val="0"/>
              <w:sz w:val="24"/>
              <w:szCs w:val="24"/>
              <w:lang w:val="en-US" w:eastAsia="zh-CN"/>
            </w:rPr>
            <w:t>3</w:t>
          </w:r>
          <w:r>
            <w:rPr>
              <w:rStyle w:val="21"/>
              <w:rFonts w:hint="default" w:ascii="Times New Roman" w:hAnsi="Times New Roman" w:eastAsia="宋体" w:cs="Times New Roman"/>
              <w:vanish w:val="0"/>
              <w:sz w:val="24"/>
              <w:szCs w:val="24"/>
              <w:lang w:eastAsia="zh-CN"/>
            </w:rPr>
            <w:t>）锰锌钒产业技术协同创新中心本科生教改实验班</w:t>
          </w:r>
          <w:r>
            <w:rPr>
              <w:rStyle w:val="21"/>
              <w:rFonts w:hint="default" w:ascii="Times New Roman" w:hAnsi="Times New Roman" w:eastAsia="宋体" w:cs="Times New Roman"/>
              <w:vanish w:val="0"/>
              <w:sz w:val="24"/>
              <w:szCs w:val="24"/>
              <w:lang w:eastAsia="zh-CN"/>
            </w:rPr>
            <w:tab/>
          </w:r>
          <w:r>
            <w:rPr>
              <w:rStyle w:val="21"/>
              <w:rFonts w:hint="default" w:ascii="Times New Roman" w:hAnsi="Times New Roman" w:eastAsia="宋体" w:cs="Times New Roman"/>
              <w:vanish w:val="0"/>
              <w:sz w:val="24"/>
              <w:szCs w:val="24"/>
              <w:lang w:eastAsia="zh-CN"/>
            </w:rPr>
            <w:fldChar w:fldCharType="end"/>
          </w:r>
          <w:r>
            <w:rPr>
              <w:rStyle w:val="21"/>
              <w:rFonts w:hint="default" w:ascii="Times New Roman" w:hAnsi="Times New Roman" w:eastAsia="宋体" w:cs="Times New Roman"/>
              <w:vanish w:val="0"/>
              <w:sz w:val="24"/>
              <w:szCs w:val="24"/>
              <w:lang w:eastAsia="zh-CN"/>
            </w:rPr>
            <w:t>1</w:t>
          </w:r>
          <w:r>
            <w:rPr>
              <w:rFonts w:hint="default" w:ascii="Times New Roman" w:hAnsi="Times New Roman" w:eastAsia="宋体" w:cs="Times New Roman"/>
              <w:sz w:val="24"/>
              <w:szCs w:val="24"/>
              <w:lang w:val="en-US" w:eastAsia="zh-CN"/>
            </w:rPr>
            <w:t>7</w:t>
          </w:r>
        </w:p>
        <w:p>
          <w:pPr>
            <w:pStyle w:val="12"/>
            <w:tabs>
              <w:tab w:val="right" w:leader="dot" w:pos="8306"/>
              <w:tab w:val="clear" w:pos="8296"/>
            </w:tabs>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"_Toc5666"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四</w:t>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积极开拓就业市场</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7</w:t>
          </w:r>
        </w:p>
        <w:p>
          <w:pPr>
            <w:pStyle w:val="12"/>
            <w:tabs>
              <w:tab w:val="right" w:leader="dot" w:pos="8306"/>
              <w:tab w:val="clear" w:pos="8296"/>
            </w:tabs>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"_Toc5666"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五</w:t>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搭平台及时发布就业信息</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8</w:t>
          </w:r>
        </w:p>
        <w:p>
          <w:pPr>
            <w:pStyle w:val="12"/>
            <w:tabs>
              <w:tab w:val="right" w:leader="dot" w:pos="8306"/>
              <w:tab w:val="clear" w:pos="8296"/>
            </w:tabs>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"_Toc5666"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六</w:t>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优化就业创业指导和服务工作</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8</w:t>
          </w:r>
        </w:p>
        <w:p>
          <w:pPr>
            <w:pStyle w:val="12"/>
            <w:tabs>
              <w:tab w:val="right" w:leader="dot" w:pos="8306"/>
              <w:tab w:val="clear" w:pos="8296"/>
            </w:tabs>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"_Toc5666" \h </w:instrText>
          </w:r>
          <w:r>
            <w:rPr>
              <w:rFonts w:hint="default" w:ascii="Times New Roman" w:hAnsi="Times New Roman" w:eastAsia="宋体" w:cs="Times New Roman"/>
              <w:sz w:val="24"/>
              <w:szCs w:val="24"/>
            </w:rPr>
            <w:fldChar w:fldCharType="separate"/>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七</w:t>
          </w:r>
          <w:r>
            <w:rPr>
              <w:rStyle w:val="21"/>
              <w:rFonts w:hint="default" w:ascii="Times New Roman" w:hAnsi="Times New Roman" w:eastAsia="宋体" w:cs="Times New Roman"/>
              <w:vanish w:val="0"/>
              <w:sz w:val="24"/>
              <w:szCs w:val="24"/>
            </w:rPr>
            <w:t>）</w:t>
          </w:r>
          <w:r>
            <w:rPr>
              <w:rStyle w:val="21"/>
              <w:rFonts w:hint="default" w:ascii="Times New Roman" w:hAnsi="Times New Roman" w:eastAsia="宋体" w:cs="Times New Roman"/>
              <w:vanish w:val="0"/>
              <w:sz w:val="24"/>
              <w:szCs w:val="24"/>
              <w:lang w:eastAsia="zh-CN"/>
            </w:rPr>
            <w:t>实施学生就业状况动态监测</w:t>
          </w:r>
          <w:r>
            <w:rPr>
              <w:rStyle w:val="21"/>
              <w:rFonts w:hint="default" w:ascii="Times New Roman" w:hAnsi="Times New Roman" w:eastAsia="宋体" w:cs="Times New Roman"/>
              <w:sz w:val="24"/>
              <w:szCs w:val="24"/>
            </w:rPr>
            <w:tab/>
          </w:r>
          <w:r>
            <w:rPr>
              <w:rStyle w:val="21"/>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9</w:t>
          </w:r>
        </w:p>
        <w:p>
          <w:pPr>
            <w:spacing w:line="288" w:lineRule="auto"/>
            <w:rPr>
              <w:rFonts w:hint="default" w:ascii="Times New Roman" w:hAnsi="Times New Roman" w:eastAsia="宋体" w:cs="Times New Roman"/>
            </w:rPr>
          </w:pPr>
        </w:p>
      </w:sdtContent>
    </w:sdt>
    <w:p>
      <w:pPr>
        <w:pStyle w:val="3"/>
        <w:numPr>
          <w:ilvl w:val="0"/>
          <w:numId w:val="0"/>
        </w:numPr>
        <w:spacing w:before="0" w:after="0" w:line="360" w:lineRule="auto"/>
        <w:ind w:leftChars="0" w:right="0" w:rightChars="0"/>
        <w:rPr>
          <w:rFonts w:hint="default" w:ascii="Times New Roman" w:hAnsi="Times New Roman" w:eastAsia="宋体" w:cs="Times New Roman"/>
          <w:sz w:val="28"/>
          <w:szCs w:val="28"/>
          <w:lang w:eastAsia="zh-CN"/>
        </w:rPr>
      </w:pPr>
      <w:bookmarkStart w:id="3" w:name="_Toc32614"/>
      <w:bookmarkStart w:id="4" w:name="_Toc10724"/>
      <w:bookmarkStart w:id="5" w:name="_Toc29945"/>
      <w:bookmarkStart w:id="6" w:name="_Toc29026"/>
      <w:bookmarkStart w:id="7" w:name="_Toc15917"/>
      <w:r>
        <w:rPr>
          <w:rFonts w:hint="default" w:ascii="Times New Roman" w:hAnsi="Times New Roman" w:eastAsia="宋体" w:cs="Times New Roman"/>
          <w:sz w:val="28"/>
          <w:szCs w:val="28"/>
          <w:lang w:eastAsia="zh-CN"/>
        </w:rPr>
        <w:t>一、</w:t>
      </w:r>
      <w:r>
        <w:rPr>
          <w:rFonts w:hint="default" w:ascii="Times New Roman" w:hAnsi="Times New Roman" w:eastAsia="宋体" w:cs="Times New Roman"/>
          <w:sz w:val="28"/>
          <w:szCs w:val="28"/>
          <w:lang w:val="en-US" w:eastAsia="zh-CN"/>
        </w:rPr>
        <w:t>2020届</w:t>
      </w:r>
      <w:r>
        <w:rPr>
          <w:rFonts w:hint="default" w:ascii="Times New Roman" w:hAnsi="Times New Roman" w:eastAsia="宋体" w:cs="Times New Roman"/>
          <w:sz w:val="28"/>
          <w:szCs w:val="28"/>
        </w:rPr>
        <w:t>毕业生</w:t>
      </w:r>
      <w:bookmarkEnd w:id="3"/>
      <w:bookmarkEnd w:id="4"/>
      <w:bookmarkEnd w:id="5"/>
      <w:bookmarkEnd w:id="6"/>
      <w:bookmarkEnd w:id="7"/>
      <w:r>
        <w:rPr>
          <w:rFonts w:hint="default" w:ascii="Times New Roman" w:hAnsi="Times New Roman" w:eastAsia="宋体" w:cs="Times New Roman"/>
          <w:sz w:val="28"/>
          <w:szCs w:val="28"/>
          <w:lang w:eastAsia="zh-CN"/>
        </w:rPr>
        <w:t>基本情况</w:t>
      </w:r>
    </w:p>
    <w:p>
      <w:pPr>
        <w:spacing w:line="520" w:lineRule="exact"/>
        <w:ind w:left="0" w:right="0" w:firstLine="540"/>
        <w:rPr>
          <w:rFonts w:hint="default" w:ascii="Times New Roman" w:hAnsi="Times New Roman" w:eastAsia="宋体" w:cs="Times New Roman"/>
        </w:rPr>
      </w:pPr>
      <w:r>
        <w:rPr>
          <w:rFonts w:hint="default" w:ascii="Times New Roman" w:hAnsi="Times New Roman" w:eastAsia="宋体" w:cs="Times New Roman"/>
          <w:sz w:val="28"/>
          <w:szCs w:val="28"/>
        </w:rPr>
        <w:t>我院20</w:t>
      </w:r>
      <w:r>
        <w:rPr>
          <w:rFonts w:hint="default"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rPr>
        <w:t>届毕业生共有</w:t>
      </w:r>
      <w:r>
        <w:rPr>
          <w:rFonts w:hint="default" w:ascii="Times New Roman" w:hAnsi="Times New Roman" w:eastAsia="宋体" w:cs="Times New Roman"/>
          <w:sz w:val="28"/>
          <w:szCs w:val="28"/>
          <w:lang w:val="en-US" w:eastAsia="zh-CN"/>
        </w:rPr>
        <w:t>38</w:t>
      </w:r>
      <w:r>
        <w:rPr>
          <w:rFonts w:hint="eastAsia"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rPr>
        <w:t>人，涵盖通信工程、电子信息工程、网络工程、计算机科学与技术、电气工程及其自动化等5个专业。</w:t>
      </w:r>
    </w:p>
    <w:p>
      <w:pPr>
        <w:pStyle w:val="4"/>
        <w:spacing w:before="0" w:after="0" w:line="360" w:lineRule="auto"/>
        <w:rPr>
          <w:rFonts w:hint="default" w:ascii="Times New Roman" w:hAnsi="Times New Roman" w:eastAsia="宋体" w:cs="Times New Roman"/>
          <w:szCs w:val="28"/>
        </w:rPr>
      </w:pPr>
      <w:bookmarkStart w:id="8" w:name="_Toc27972"/>
      <w:bookmarkStart w:id="9" w:name="_Toc20159"/>
      <w:bookmarkStart w:id="10" w:name="_Toc7710"/>
      <w:bookmarkStart w:id="11" w:name="_Toc3399"/>
      <w:bookmarkStart w:id="12" w:name="_Toc20348"/>
      <w:r>
        <w:rPr>
          <w:rFonts w:hint="default" w:ascii="Times New Roman" w:hAnsi="Times New Roman" w:eastAsia="宋体" w:cs="Times New Roman"/>
          <w:szCs w:val="28"/>
        </w:rPr>
        <w:t>1、性别构成</w:t>
      </w:r>
      <w:bookmarkEnd w:id="8"/>
      <w:bookmarkEnd w:id="9"/>
      <w:bookmarkEnd w:id="10"/>
      <w:bookmarkEnd w:id="11"/>
      <w:bookmarkEnd w:id="12"/>
    </w:p>
    <w:p>
      <w:pPr>
        <w:spacing w:line="520" w:lineRule="exact"/>
        <w:ind w:left="0" w:right="0" w:firstLine="540"/>
        <w:rPr>
          <w:rFonts w:hint="default" w:ascii="Times New Roman" w:hAnsi="Times New Roman" w:eastAsia="宋体" w:cs="Times New Roman"/>
        </w:rPr>
      </w:pPr>
      <w:r>
        <w:rPr>
          <w:rFonts w:hint="default" w:ascii="Times New Roman" w:hAnsi="Times New Roman" w:eastAsia="宋体" w:cs="Times New Roman"/>
          <w:sz w:val="28"/>
          <w:szCs w:val="28"/>
        </w:rPr>
        <w:t>男生</w:t>
      </w:r>
      <w:r>
        <w:rPr>
          <w:rFonts w:hint="default" w:ascii="Times New Roman" w:hAnsi="Times New Roman" w:eastAsia="宋体" w:cs="Times New Roman"/>
          <w:sz w:val="28"/>
          <w:szCs w:val="28"/>
          <w:lang w:val="en-US" w:eastAsia="zh-CN"/>
        </w:rPr>
        <w:t>29</w:t>
      </w:r>
      <w:r>
        <w:rPr>
          <w:rFonts w:hint="eastAsia"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rPr>
        <w:t>人，占毕业生总人数的</w:t>
      </w:r>
      <w:r>
        <w:rPr>
          <w:rFonts w:hint="default" w:ascii="Times New Roman" w:hAnsi="Times New Roman" w:eastAsia="宋体" w:cs="Times New Roman"/>
          <w:sz w:val="28"/>
          <w:szCs w:val="28"/>
          <w:lang w:val="en-US" w:eastAsia="zh-CN"/>
        </w:rPr>
        <w:t>7</w:t>
      </w:r>
      <w:r>
        <w:rPr>
          <w:rFonts w:hint="eastAsia"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95</w:t>
      </w:r>
      <w:r>
        <w:rPr>
          <w:rFonts w:hint="default" w:ascii="Times New Roman" w:hAnsi="Times New Roman" w:eastAsia="宋体" w:cs="Times New Roman"/>
          <w:sz w:val="28"/>
          <w:szCs w:val="28"/>
        </w:rPr>
        <w:t>%；女生</w:t>
      </w:r>
      <w:r>
        <w:rPr>
          <w:rFonts w:hint="default" w:ascii="Times New Roman" w:hAnsi="Times New Roman" w:eastAsia="宋体" w:cs="Times New Roman"/>
          <w:sz w:val="28"/>
          <w:szCs w:val="28"/>
          <w:lang w:val="en-US" w:eastAsia="zh-CN"/>
        </w:rPr>
        <w:t>84</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22.05</w:t>
      </w:r>
      <w:r>
        <w:rPr>
          <w:rFonts w:hint="default" w:ascii="Times New Roman" w:hAnsi="Times New Roman" w:eastAsia="宋体" w:cs="Times New Roman"/>
          <w:sz w:val="28"/>
          <w:szCs w:val="28"/>
        </w:rPr>
        <w:t>%。男女比例为3.</w:t>
      </w:r>
      <w:r>
        <w:rPr>
          <w:rFonts w:hint="default" w:ascii="Times New Roman" w:hAnsi="Times New Roman" w:eastAsia="宋体" w:cs="Times New Roman"/>
          <w:sz w:val="28"/>
          <w:szCs w:val="28"/>
          <w:lang w:val="en-US" w:eastAsia="zh-CN"/>
        </w:rPr>
        <w:t>55</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lang w:eastAsia="zh-CN"/>
        </w:rPr>
        <w:t>（图</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pStyle w:val="4"/>
        <w:spacing w:before="0" w:after="0"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4572000" cy="2743200"/>
            <wp:effectExtent l="4445" t="4445" r="14605" b="71755"/>
            <wp:docPr id="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Start w:id="13" w:name="_Toc21724"/>
    </w:p>
    <w:p>
      <w:pPr>
        <w:pStyle w:val="4"/>
        <w:spacing w:before="0" w:after="0" w:line="360" w:lineRule="auto"/>
        <w:jc w:val="both"/>
        <w:rPr>
          <w:rFonts w:hint="default" w:ascii="Times New Roman" w:hAnsi="Times New Roman" w:eastAsia="宋体" w:cs="Times New Roman"/>
          <w:b/>
          <w:color w:val="auto"/>
          <w:kern w:val="2"/>
          <w:sz w:val="28"/>
          <w:szCs w:val="28"/>
          <w:lang w:val="en-US" w:eastAsia="zh-CN" w:bidi="ar-SA"/>
        </w:rPr>
      </w:pPr>
      <w:r>
        <w:rPr>
          <w:rFonts w:hint="default" w:ascii="Times New Roman" w:hAnsi="Times New Roman" w:eastAsia="宋体" w:cs="Times New Roman"/>
          <w:b/>
          <w:color w:val="auto"/>
          <w:kern w:val="2"/>
          <w:sz w:val="28"/>
          <w:szCs w:val="28"/>
          <w:lang w:val="en-US" w:eastAsia="zh-CN" w:bidi="ar-SA"/>
        </w:rPr>
        <w:t>2、城乡生源分布</w:t>
      </w:r>
      <w:bookmarkEnd w:id="13"/>
    </w:p>
    <w:p>
      <w:pPr>
        <w:ind w:left="0" w:right="0" w:firstLine="560"/>
        <w:rPr>
          <w:rFonts w:hint="default" w:ascii="Times New Roman" w:hAnsi="Times New Roman" w:eastAsia="宋体" w:cs="Times New Roman"/>
        </w:rPr>
      </w:pPr>
      <w:r>
        <w:rPr>
          <w:rFonts w:hint="default" w:ascii="Times New Roman" w:hAnsi="Times New Roman" w:eastAsia="宋体" w:cs="Times New Roman"/>
          <w:sz w:val="28"/>
          <w:szCs w:val="28"/>
        </w:rPr>
        <w:t>城镇户口毕业生为</w:t>
      </w:r>
      <w:r>
        <w:rPr>
          <w:rFonts w:hint="eastAsia" w:ascii="Times New Roman" w:hAnsi="Times New Roman" w:eastAsia="宋体" w:cs="Times New Roman"/>
          <w:sz w:val="28"/>
          <w:szCs w:val="28"/>
          <w:lang w:val="en-US" w:eastAsia="zh-CN"/>
        </w:rPr>
        <w:t>110</w:t>
      </w:r>
      <w:r>
        <w:rPr>
          <w:rFonts w:hint="default" w:ascii="Times New Roman" w:hAnsi="Times New Roman" w:eastAsia="宋体" w:cs="Times New Roman"/>
          <w:sz w:val="28"/>
          <w:szCs w:val="28"/>
        </w:rPr>
        <w:t>人，占毕业生总人数的</w:t>
      </w:r>
      <w:r>
        <w:rPr>
          <w:rFonts w:hint="default" w:ascii="Times New Roman" w:hAnsi="Times New Roman" w:eastAsia="宋体" w:cs="Times New Roman"/>
          <w:sz w:val="28"/>
          <w:szCs w:val="28"/>
          <w:lang w:val="en-US" w:eastAsia="zh-CN"/>
        </w:rPr>
        <w:t>28.</w:t>
      </w:r>
      <w:r>
        <w:rPr>
          <w:rFonts w:hint="eastAsia" w:ascii="Times New Roman" w:hAnsi="Times New Roman" w:eastAsia="宋体" w:cs="Times New Roman"/>
          <w:sz w:val="28"/>
          <w:szCs w:val="28"/>
          <w:lang w:val="en-US" w:eastAsia="zh-CN"/>
        </w:rPr>
        <w:t>87</w:t>
      </w:r>
      <w:r>
        <w:rPr>
          <w:rFonts w:hint="default" w:ascii="Times New Roman" w:hAnsi="Times New Roman" w:eastAsia="宋体" w:cs="Times New Roman"/>
          <w:sz w:val="28"/>
          <w:szCs w:val="28"/>
        </w:rPr>
        <w:t>%；农村户口毕业生为</w:t>
      </w:r>
      <w:r>
        <w:rPr>
          <w:rFonts w:hint="default" w:ascii="Times New Roman" w:hAnsi="Times New Roman" w:eastAsia="宋体" w:cs="Times New Roman"/>
          <w:sz w:val="28"/>
          <w:szCs w:val="28"/>
          <w:lang w:val="en-US" w:eastAsia="zh-CN"/>
        </w:rPr>
        <w:t>27</w:t>
      </w:r>
      <w:r>
        <w:rPr>
          <w:rFonts w:hint="eastAsia"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rPr>
        <w:t>人，占毕业生总人数的</w:t>
      </w:r>
      <w:r>
        <w:rPr>
          <w:rFonts w:hint="default" w:ascii="Times New Roman" w:hAnsi="Times New Roman" w:eastAsia="宋体" w:cs="Times New Roman"/>
          <w:sz w:val="28"/>
          <w:szCs w:val="28"/>
          <w:lang w:val="en-US" w:eastAsia="zh-CN"/>
        </w:rPr>
        <w:t>71.</w:t>
      </w:r>
      <w:r>
        <w:rPr>
          <w:rFonts w:hint="eastAsia" w:ascii="Times New Roman" w:hAnsi="Times New Roman" w:eastAsia="宋体" w:cs="Times New Roman"/>
          <w:sz w:val="28"/>
          <w:szCs w:val="28"/>
          <w:lang w:val="en-US" w:eastAsia="zh-CN"/>
        </w:rPr>
        <w:t>13</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（图</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bookmarkStart w:id="14" w:name="_Toc844"/>
    </w:p>
    <w:p>
      <w:pPr>
        <w:ind w:left="0" w:right="0" w:firstLine="560"/>
        <w:rPr>
          <w:rFonts w:hint="default" w:ascii="Times New Roman" w:hAnsi="Times New Roman" w:eastAsia="宋体" w:cs="Times New Roman"/>
          <w:sz w:val="28"/>
          <w:szCs w:val="28"/>
        </w:rPr>
      </w:pPr>
      <w:r>
        <w:rPr>
          <w:rFonts w:hint="default" w:ascii="Times New Roman" w:hAnsi="Times New Roman" w:eastAsia="宋体" w:cs="Times New Roman"/>
        </w:rPr>
        <w:drawing>
          <wp:inline distT="0" distB="0" distL="114300" distR="114300">
            <wp:extent cx="4572000" cy="2743200"/>
            <wp:effectExtent l="4445" t="4445" r="14605" b="71755"/>
            <wp:docPr id="1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4"/>
        <w:spacing w:before="0" w:after="0" w:line="360" w:lineRule="auto"/>
        <w:rPr>
          <w:rFonts w:hint="default" w:ascii="Times New Roman" w:hAnsi="Times New Roman" w:eastAsia="宋体" w:cs="Times New Roman"/>
          <w:szCs w:val="28"/>
          <w:lang w:eastAsia="zh-CN"/>
        </w:rPr>
      </w:pPr>
      <w:bookmarkStart w:id="15" w:name="_Toc2497"/>
      <w:bookmarkStart w:id="16" w:name="_Toc6882"/>
      <w:bookmarkStart w:id="17" w:name="_Toc3178"/>
      <w:bookmarkStart w:id="18" w:name="_Toc14937"/>
      <w:r>
        <w:rPr>
          <w:rFonts w:hint="default" w:ascii="Times New Roman" w:hAnsi="Times New Roman" w:eastAsia="宋体" w:cs="Times New Roman"/>
          <w:szCs w:val="28"/>
        </w:rPr>
        <w:t>3、</w:t>
      </w:r>
      <w:bookmarkEnd w:id="14"/>
      <w:bookmarkEnd w:id="15"/>
      <w:bookmarkEnd w:id="16"/>
      <w:bookmarkEnd w:id="17"/>
      <w:bookmarkEnd w:id="18"/>
      <w:bookmarkStart w:id="19" w:name="_Toc19594"/>
      <w:bookmarkStart w:id="20" w:name="_Toc11835"/>
      <w:bookmarkStart w:id="21" w:name="_Toc31762"/>
      <w:bookmarkStart w:id="22" w:name="_Toc5141"/>
      <w:bookmarkStart w:id="23" w:name="_Toc9117"/>
      <w:r>
        <w:rPr>
          <w:rFonts w:hint="default" w:ascii="Times New Roman" w:hAnsi="Times New Roman" w:eastAsia="宋体" w:cs="Times New Roman"/>
        </w:rPr>
        <w:drawing>
          <wp:inline distT="0" distB="0" distL="0" distR="0">
            <wp:extent cx="14605" cy="14605"/>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default" w:ascii="Times New Roman" w:hAnsi="Times New Roman" w:eastAsia="宋体" w:cs="Times New Roman"/>
          <w:szCs w:val="28"/>
        </w:rPr>
        <w:t>各专业</w:t>
      </w:r>
      <w:bookmarkEnd w:id="19"/>
      <w:bookmarkEnd w:id="20"/>
      <w:bookmarkEnd w:id="21"/>
      <w:bookmarkEnd w:id="22"/>
      <w:bookmarkEnd w:id="23"/>
      <w:r>
        <w:rPr>
          <w:rFonts w:hint="default" w:ascii="Times New Roman" w:hAnsi="Times New Roman" w:eastAsia="宋体" w:cs="Times New Roman"/>
          <w:szCs w:val="28"/>
          <w:lang w:eastAsia="zh-CN"/>
        </w:rPr>
        <w:t>人数</w:t>
      </w:r>
    </w:p>
    <w:p>
      <w:pPr>
        <w:ind w:left="0" w:right="0" w:firstLine="640"/>
        <w:rPr>
          <w:rFonts w:hint="default" w:ascii="Times New Roman" w:hAnsi="Times New Roman" w:eastAsia="宋体" w:cs="Times New Roman"/>
        </w:rPr>
      </w:pPr>
      <w:r>
        <w:rPr>
          <w:rFonts w:hint="default" w:ascii="Times New Roman" w:hAnsi="Times New Roman" w:eastAsia="宋体" w:cs="Times New Roman"/>
          <w:sz w:val="28"/>
          <w:szCs w:val="28"/>
        </w:rPr>
        <w:t>我院各专业</w:t>
      </w:r>
      <w:r>
        <w:rPr>
          <w:rFonts w:hint="default" w:ascii="Times New Roman" w:hAnsi="Times New Roman" w:eastAsia="宋体" w:cs="Times New Roman"/>
          <w:sz w:val="28"/>
          <w:szCs w:val="28"/>
          <w:lang w:val="en-US" w:eastAsia="zh-CN"/>
        </w:rPr>
        <w:t>2020</w:t>
      </w:r>
      <w:r>
        <w:rPr>
          <w:rFonts w:hint="default" w:ascii="Times New Roman" w:hAnsi="Times New Roman" w:eastAsia="宋体" w:cs="Times New Roman"/>
          <w:sz w:val="28"/>
          <w:szCs w:val="28"/>
        </w:rPr>
        <w:t>届毕业生人数分别是：计算机科学与技术</w:t>
      </w:r>
      <w:r>
        <w:rPr>
          <w:rFonts w:hint="eastAsia" w:ascii="Times New Roman" w:hAnsi="Times New Roman" w:eastAsia="宋体" w:cs="Times New Roman"/>
          <w:sz w:val="28"/>
          <w:szCs w:val="28"/>
          <w:lang w:val="en-US" w:eastAsia="zh-CN"/>
        </w:rPr>
        <w:t>78</w:t>
      </w:r>
      <w:r>
        <w:rPr>
          <w:rFonts w:hint="default" w:ascii="Times New Roman" w:hAnsi="Times New Roman" w:eastAsia="宋体" w:cs="Times New Roman"/>
          <w:sz w:val="28"/>
          <w:szCs w:val="28"/>
        </w:rPr>
        <w:t>人，占</w:t>
      </w:r>
      <w:r>
        <w:rPr>
          <w:rFonts w:hint="default" w:ascii="Times New Roman" w:hAnsi="Times New Roman" w:eastAsia="宋体" w:cs="Times New Roman"/>
          <w:sz w:val="28"/>
          <w:szCs w:val="28"/>
          <w:lang w:val="en-US" w:eastAsia="zh-CN"/>
        </w:rPr>
        <w:t>20.</w:t>
      </w:r>
      <w:r>
        <w:rPr>
          <w:rFonts w:hint="eastAsia" w:ascii="Times New Roman" w:hAnsi="Times New Roman" w:eastAsia="宋体" w:cs="Times New Roman"/>
          <w:sz w:val="28"/>
          <w:szCs w:val="28"/>
          <w:lang w:val="en-US" w:eastAsia="zh-CN"/>
        </w:rPr>
        <w:t>47</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电子信息工程</w:t>
      </w:r>
      <w:r>
        <w:rPr>
          <w:rFonts w:hint="default" w:ascii="Times New Roman" w:hAnsi="Times New Roman" w:eastAsia="宋体" w:cs="Times New Roman"/>
          <w:sz w:val="28"/>
          <w:szCs w:val="28"/>
          <w:lang w:val="en-US" w:eastAsia="zh-CN"/>
        </w:rPr>
        <w:t>69</w:t>
      </w:r>
      <w:r>
        <w:rPr>
          <w:rFonts w:hint="default" w:ascii="Times New Roman" w:hAnsi="Times New Roman" w:eastAsia="宋体" w:cs="Times New Roman"/>
          <w:sz w:val="28"/>
          <w:szCs w:val="28"/>
        </w:rPr>
        <w:t>人，占</w:t>
      </w:r>
      <w:r>
        <w:rPr>
          <w:rFonts w:hint="default" w:ascii="Times New Roman" w:hAnsi="Times New Roman" w:eastAsia="宋体" w:cs="Times New Roman"/>
          <w:sz w:val="28"/>
          <w:szCs w:val="28"/>
          <w:lang w:val="en-US" w:eastAsia="zh-CN"/>
        </w:rPr>
        <w:t>18.</w:t>
      </w:r>
      <w:r>
        <w:rPr>
          <w:rFonts w:hint="eastAsia" w:ascii="Times New Roman" w:hAnsi="Times New Roman" w:eastAsia="宋体" w:cs="Times New Roman"/>
          <w:sz w:val="28"/>
          <w:szCs w:val="28"/>
          <w:lang w:val="en-US" w:eastAsia="zh-CN"/>
        </w:rPr>
        <w:t>11</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通信工程</w:t>
      </w:r>
      <w:r>
        <w:rPr>
          <w:rFonts w:hint="default" w:ascii="Times New Roman" w:hAnsi="Times New Roman" w:eastAsia="宋体" w:cs="Times New Roman"/>
          <w:sz w:val="28"/>
          <w:szCs w:val="28"/>
          <w:lang w:val="en-US" w:eastAsia="zh-CN"/>
        </w:rPr>
        <w:t>73</w:t>
      </w:r>
      <w:r>
        <w:rPr>
          <w:rFonts w:hint="default" w:ascii="Times New Roman" w:hAnsi="Times New Roman" w:eastAsia="宋体" w:cs="Times New Roman"/>
          <w:sz w:val="28"/>
          <w:szCs w:val="28"/>
        </w:rPr>
        <w:t>人，占</w:t>
      </w:r>
      <w:r>
        <w:rPr>
          <w:rFonts w:hint="default" w:ascii="Times New Roman" w:hAnsi="Times New Roman" w:eastAsia="宋体" w:cs="Times New Roman"/>
          <w:sz w:val="28"/>
          <w:szCs w:val="28"/>
          <w:lang w:val="en-US" w:eastAsia="zh-CN"/>
        </w:rPr>
        <w:t>19.1</w:t>
      </w:r>
      <w:r>
        <w:rPr>
          <w:rFonts w:hint="eastAsia"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网络工程</w:t>
      </w:r>
      <w:r>
        <w:rPr>
          <w:rFonts w:hint="default" w:ascii="Times New Roman" w:hAnsi="Times New Roman" w:eastAsia="宋体" w:cs="Times New Roman"/>
          <w:sz w:val="28"/>
          <w:szCs w:val="28"/>
          <w:lang w:val="en-US" w:eastAsia="zh-CN"/>
        </w:rPr>
        <w:t>6</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人，占</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6.54</w:t>
      </w:r>
      <w:r>
        <w:rPr>
          <w:rFonts w:hint="default" w:ascii="Times New Roman" w:hAnsi="Times New Roman" w:eastAsia="宋体" w:cs="Times New Roman"/>
          <w:sz w:val="28"/>
          <w:szCs w:val="28"/>
        </w:rPr>
        <w:t>%；电气工程及其自动化</w:t>
      </w:r>
      <w:r>
        <w:rPr>
          <w:rFonts w:hint="default" w:ascii="Times New Roman" w:hAnsi="Times New Roman" w:eastAsia="宋体" w:cs="Times New Roman"/>
          <w:sz w:val="28"/>
          <w:szCs w:val="28"/>
          <w:lang w:val="en-US" w:eastAsia="zh-CN"/>
        </w:rPr>
        <w:t>98</w:t>
      </w:r>
      <w:r>
        <w:rPr>
          <w:rFonts w:hint="default" w:ascii="Times New Roman" w:hAnsi="Times New Roman" w:eastAsia="宋体" w:cs="Times New Roman"/>
          <w:sz w:val="28"/>
          <w:szCs w:val="28"/>
        </w:rPr>
        <w:t>人，占</w:t>
      </w:r>
      <w:r>
        <w:rPr>
          <w:rFonts w:hint="default" w:ascii="Times New Roman" w:hAnsi="Times New Roman" w:eastAsia="宋体" w:cs="Times New Roman"/>
          <w:sz w:val="28"/>
          <w:szCs w:val="28"/>
          <w:lang w:val="en-US" w:eastAsia="zh-CN"/>
        </w:rPr>
        <w:t>25</w:t>
      </w:r>
      <w:r>
        <w:rPr>
          <w:rFonts w:hint="eastAsia" w:ascii="Times New Roman" w:hAnsi="Times New Roman" w:eastAsia="宋体" w:cs="Times New Roman"/>
          <w:sz w:val="28"/>
          <w:szCs w:val="28"/>
          <w:lang w:val="en-US" w:eastAsia="zh-CN"/>
        </w:rPr>
        <w:t>.72</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（图</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tabs>
          <w:tab w:val="left" w:pos="6451"/>
        </w:tabs>
        <w:jc w:val="center"/>
        <w:rPr>
          <w:rFonts w:hint="default" w:ascii="Times New Roman" w:hAnsi="Times New Roman" w:eastAsia="宋体" w:cs="Times New Roman"/>
          <w:sz w:val="28"/>
          <w:szCs w:val="28"/>
        </w:rPr>
      </w:pPr>
      <w:r>
        <w:rPr>
          <w:rFonts w:hint="default" w:ascii="Times New Roman" w:hAnsi="Times New Roman" w:eastAsia="宋体" w:cs="Times New Roman"/>
        </w:rPr>
        <w:drawing>
          <wp:inline distT="0" distB="0" distL="114300" distR="114300">
            <wp:extent cx="4572000" cy="2743200"/>
            <wp:effectExtent l="4445" t="4445" r="14605" b="71755"/>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tabs>
          <w:tab w:val="left" w:pos="6451"/>
        </w:tabs>
        <w:jc w:val="left"/>
        <w:rPr>
          <w:rFonts w:hint="default" w:ascii="Times New Roman" w:hAnsi="Times New Roman" w:eastAsia="宋体" w:cs="Times New Roman"/>
          <w:sz w:val="28"/>
          <w:szCs w:val="28"/>
        </w:rPr>
      </w:pPr>
    </w:p>
    <w:p>
      <w:pPr>
        <w:tabs>
          <w:tab w:val="left" w:pos="6451"/>
        </w:tabs>
        <w:jc w:val="left"/>
        <w:rPr>
          <w:rFonts w:hint="default" w:ascii="Times New Roman" w:hAnsi="Times New Roman" w:eastAsia="宋体" w:cs="Times New Roman"/>
          <w:sz w:val="28"/>
          <w:szCs w:val="28"/>
        </w:rPr>
      </w:pPr>
    </w:p>
    <w:p>
      <w:pPr>
        <w:keepNext w:val="0"/>
        <w:keepLines w:val="0"/>
        <w:pageBreakBefore w:val="0"/>
        <w:widowControl w:val="0"/>
        <w:numPr>
          <w:ilvl w:val="0"/>
          <w:numId w:val="1"/>
        </w:numPr>
        <w:tabs>
          <w:tab w:val="left" w:pos="6451"/>
        </w:tabs>
        <w:overflowPunct w:val="0"/>
        <w:bidi w:val="0"/>
        <w:snapToGrid/>
        <w:spacing w:line="360" w:lineRule="auto"/>
        <w:jc w:val="left"/>
        <w:textAlignment w:val="auto"/>
        <w:outlineLvl w:val="0"/>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2020届毕业生就业情况</w:t>
      </w:r>
    </w:p>
    <w:p>
      <w:pPr>
        <w:pStyle w:val="13"/>
        <w:spacing w:line="360" w:lineRule="auto"/>
        <w:ind w:left="0" w:right="0" w:firstLine="560"/>
        <w:jc w:val="both"/>
        <w:rPr>
          <w:rFonts w:hint="default" w:ascii="Times New Roman" w:hAnsi="Times New Roman" w:eastAsia="宋体" w:cs="Times New Roman"/>
          <w:kern w:val="2"/>
          <w:sz w:val="28"/>
          <w:szCs w:val="28"/>
          <w:lang w:val="en-US" w:eastAsia="zh-CN"/>
        </w:rPr>
      </w:pPr>
      <w:r>
        <w:rPr>
          <w:rFonts w:hint="default" w:ascii="Times New Roman" w:hAnsi="Times New Roman" w:eastAsia="宋体" w:cs="Times New Roman"/>
          <w:kern w:val="2"/>
          <w:sz w:val="28"/>
          <w:szCs w:val="28"/>
        </w:rPr>
        <w:t>截至</w:t>
      </w:r>
      <w:r>
        <w:rPr>
          <w:rFonts w:hint="default" w:ascii="Times New Roman" w:hAnsi="Times New Roman" w:eastAsia="宋体" w:cs="Times New Roman"/>
          <w:kern w:val="2"/>
          <w:sz w:val="28"/>
          <w:szCs w:val="28"/>
          <w:lang w:val="en-US" w:eastAsia="zh-CN"/>
        </w:rPr>
        <w:t>2020</w:t>
      </w:r>
      <w:r>
        <w:rPr>
          <w:rFonts w:hint="default" w:ascii="Times New Roman" w:hAnsi="Times New Roman" w:eastAsia="宋体" w:cs="Times New Roman"/>
          <w:kern w:val="2"/>
          <w:sz w:val="28"/>
          <w:szCs w:val="28"/>
        </w:rPr>
        <w:t>年</w:t>
      </w:r>
      <w:r>
        <w:rPr>
          <w:rFonts w:hint="default" w:ascii="Times New Roman" w:hAnsi="Times New Roman" w:eastAsia="宋体" w:cs="Times New Roman"/>
          <w:kern w:val="2"/>
          <w:sz w:val="28"/>
          <w:szCs w:val="28"/>
          <w:lang w:val="en-US" w:eastAsia="zh-CN"/>
        </w:rPr>
        <w:t>12</w:t>
      </w:r>
      <w:r>
        <w:rPr>
          <w:rFonts w:hint="default" w:ascii="Times New Roman" w:hAnsi="Times New Roman" w:eastAsia="宋体" w:cs="Times New Roman"/>
          <w:kern w:val="2"/>
          <w:sz w:val="28"/>
          <w:szCs w:val="28"/>
        </w:rPr>
        <w:t>月</w:t>
      </w:r>
      <w:r>
        <w:rPr>
          <w:rFonts w:hint="eastAsia" w:ascii="Times New Roman" w:hAnsi="Times New Roman" w:eastAsia="宋体" w:cs="Times New Roman"/>
          <w:kern w:val="2"/>
          <w:sz w:val="28"/>
          <w:szCs w:val="28"/>
          <w:lang w:val="en-US" w:eastAsia="zh-CN"/>
        </w:rPr>
        <w:t>28</w:t>
      </w:r>
      <w:r>
        <w:rPr>
          <w:rFonts w:hint="default" w:ascii="Times New Roman" w:hAnsi="Times New Roman" w:eastAsia="宋体" w:cs="Times New Roman"/>
          <w:kern w:val="2"/>
          <w:sz w:val="28"/>
          <w:szCs w:val="28"/>
        </w:rPr>
        <w:t>日，我院20</w:t>
      </w:r>
      <w:r>
        <w:rPr>
          <w:rFonts w:hint="default" w:ascii="Times New Roman" w:hAnsi="Times New Roman" w:eastAsia="宋体" w:cs="Times New Roman"/>
          <w:kern w:val="2"/>
          <w:sz w:val="28"/>
          <w:szCs w:val="28"/>
          <w:lang w:val="en-US" w:eastAsia="zh-CN"/>
        </w:rPr>
        <w:t>20</w:t>
      </w:r>
      <w:r>
        <w:rPr>
          <w:rFonts w:hint="default" w:ascii="Times New Roman" w:hAnsi="Times New Roman" w:eastAsia="宋体" w:cs="Times New Roman"/>
          <w:kern w:val="2"/>
          <w:sz w:val="28"/>
          <w:szCs w:val="28"/>
        </w:rPr>
        <w:t>届毕业生</w:t>
      </w:r>
      <w:r>
        <w:rPr>
          <w:rFonts w:hint="default" w:ascii="Times New Roman" w:hAnsi="Times New Roman" w:eastAsia="宋体" w:cs="Times New Roman"/>
          <w:kern w:val="2"/>
          <w:sz w:val="28"/>
          <w:szCs w:val="28"/>
          <w:lang w:eastAsia="zh-CN"/>
        </w:rPr>
        <w:t>就业人数为</w:t>
      </w:r>
      <w:r>
        <w:rPr>
          <w:rFonts w:hint="default" w:ascii="Times New Roman" w:hAnsi="Times New Roman" w:eastAsia="宋体" w:cs="Times New Roman"/>
          <w:kern w:val="2"/>
          <w:sz w:val="28"/>
          <w:szCs w:val="28"/>
          <w:lang w:val="en-US" w:eastAsia="zh-CN"/>
        </w:rPr>
        <w:t>33</w:t>
      </w:r>
      <w:r>
        <w:rPr>
          <w:rFonts w:hint="eastAsia" w:ascii="Times New Roman" w:hAnsi="Times New Roman" w:eastAsia="宋体" w:cs="Times New Roman"/>
          <w:kern w:val="2"/>
          <w:sz w:val="28"/>
          <w:szCs w:val="28"/>
          <w:lang w:val="en-US" w:eastAsia="zh-CN"/>
        </w:rPr>
        <w:t>2</w:t>
      </w:r>
      <w:r>
        <w:rPr>
          <w:rFonts w:hint="default" w:ascii="Times New Roman" w:hAnsi="Times New Roman" w:eastAsia="宋体" w:cs="Times New Roman"/>
          <w:kern w:val="2"/>
          <w:sz w:val="28"/>
          <w:szCs w:val="28"/>
          <w:lang w:val="en-US" w:eastAsia="zh-CN"/>
        </w:rPr>
        <w:t>人，</w:t>
      </w:r>
      <w:r>
        <w:rPr>
          <w:rFonts w:hint="default" w:ascii="Times New Roman" w:hAnsi="Times New Roman" w:eastAsia="宋体" w:cs="Times New Roman"/>
          <w:kern w:val="2"/>
          <w:sz w:val="28"/>
          <w:szCs w:val="28"/>
        </w:rPr>
        <w:t>就业率为</w:t>
      </w:r>
      <w:r>
        <w:rPr>
          <w:rFonts w:hint="default" w:ascii="Times New Roman" w:hAnsi="Times New Roman" w:eastAsia="宋体" w:cs="Times New Roman"/>
          <w:kern w:val="2"/>
          <w:sz w:val="28"/>
          <w:szCs w:val="28"/>
          <w:lang w:val="en-US" w:eastAsia="zh-CN"/>
        </w:rPr>
        <w:t>8</w:t>
      </w:r>
      <w:r>
        <w:rPr>
          <w:rFonts w:hint="eastAsia" w:ascii="Times New Roman" w:hAnsi="Times New Roman" w:eastAsia="宋体" w:cs="Times New Roman"/>
          <w:kern w:val="2"/>
          <w:sz w:val="28"/>
          <w:szCs w:val="28"/>
          <w:lang w:val="en-US" w:eastAsia="zh-CN"/>
        </w:rPr>
        <w:t>7.14</w:t>
      </w:r>
      <w:r>
        <w:rPr>
          <w:rFonts w:hint="default" w:ascii="Times New Roman" w:hAnsi="Times New Roman" w:eastAsia="宋体" w:cs="Times New Roman"/>
          <w:kern w:val="2"/>
          <w:sz w:val="28"/>
          <w:szCs w:val="28"/>
        </w:rPr>
        <w:t>%</w:t>
      </w:r>
      <w:r>
        <w:rPr>
          <w:rFonts w:hint="default" w:ascii="Times New Roman" w:hAnsi="Times New Roman" w:eastAsia="宋体" w:cs="Times New Roman"/>
          <w:kern w:val="2"/>
          <w:sz w:val="28"/>
          <w:szCs w:val="28"/>
          <w:lang w:eastAsia="zh-CN"/>
        </w:rPr>
        <w:t>，待就业人数</w:t>
      </w:r>
      <w:r>
        <w:rPr>
          <w:rFonts w:hint="eastAsia" w:ascii="Times New Roman" w:hAnsi="Times New Roman" w:eastAsia="宋体" w:cs="Times New Roman"/>
          <w:kern w:val="2"/>
          <w:sz w:val="28"/>
          <w:szCs w:val="28"/>
          <w:lang w:val="en-US" w:eastAsia="zh-CN"/>
        </w:rPr>
        <w:t>49</w:t>
      </w:r>
      <w:r>
        <w:rPr>
          <w:rFonts w:hint="default" w:ascii="Times New Roman" w:hAnsi="Times New Roman" w:eastAsia="宋体" w:cs="Times New Roman"/>
          <w:kern w:val="2"/>
          <w:sz w:val="28"/>
          <w:szCs w:val="28"/>
          <w:lang w:val="en-US" w:eastAsia="zh-CN"/>
        </w:rPr>
        <w:t>人，占</w:t>
      </w:r>
      <w:r>
        <w:rPr>
          <w:rFonts w:hint="eastAsia" w:ascii="Times New Roman" w:hAnsi="Times New Roman" w:eastAsia="宋体" w:cs="Times New Roman"/>
          <w:kern w:val="2"/>
          <w:sz w:val="28"/>
          <w:szCs w:val="28"/>
          <w:lang w:val="en-US" w:eastAsia="zh-CN"/>
        </w:rPr>
        <w:t>12.86</w:t>
      </w:r>
      <w:r>
        <w:rPr>
          <w:rFonts w:hint="default" w:ascii="Times New Roman" w:hAnsi="Times New Roman" w:eastAsia="宋体" w:cs="Times New Roman"/>
          <w:kern w:val="2"/>
          <w:sz w:val="28"/>
          <w:szCs w:val="28"/>
          <w:lang w:val="en-US" w:eastAsia="zh-CN"/>
        </w:rPr>
        <w:t>%。</w:t>
      </w:r>
    </w:p>
    <w:p>
      <w:pPr>
        <w:pStyle w:val="4"/>
        <w:numPr>
          <w:ilvl w:val="0"/>
          <w:numId w:val="0"/>
        </w:numPr>
        <w:spacing w:before="0" w:after="0" w:line="360" w:lineRule="auto"/>
        <w:ind w:leftChars="0" w:right="0" w:rightChars="0"/>
        <w:rPr>
          <w:rFonts w:hint="default" w:ascii="Times New Roman" w:hAnsi="Times New Roman" w:eastAsia="宋体" w:cs="Times New Roman"/>
        </w:rPr>
      </w:pPr>
      <w:r>
        <w:rPr>
          <w:rFonts w:hint="eastAsia" w:ascii="Times New Roman" w:hAnsi="Times New Roman" w:eastAsia="宋体" w:cs="Times New Roman"/>
          <w:lang w:val="en-US" w:eastAsia="zh-CN"/>
        </w:rPr>
        <w:t>1、</w:t>
      </w:r>
      <w:r>
        <w:rPr>
          <w:rFonts w:hint="default" w:ascii="Times New Roman" w:hAnsi="Times New Roman" w:eastAsia="宋体" w:cs="Times New Roman"/>
        </w:rPr>
        <w:t>毕业生各专业就业率</w:t>
      </w:r>
    </w:p>
    <w:p>
      <w:pPr>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我院2020届各专业毕业生就业率为：电子信息工程专业就业率76.81%，网络工程专业就业率92.06%，通信工程专业就业率91.78%，计算机科学与技术专业就业率78.21%，电气工程及其自动化专业就业率94.90%（表1）。</w:t>
      </w:r>
    </w:p>
    <w:p>
      <w:pPr>
        <w:pStyle w:val="24"/>
        <w:widowControl/>
        <w:spacing w:line="360" w:lineRule="auto"/>
        <w:ind w:left="0" w:right="0"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 xml:space="preserve"> 吉首大学信息科学与工程学院2019届毕业生各专业就业率</w:t>
      </w:r>
    </w:p>
    <w:tbl>
      <w:tblPr>
        <w:tblStyle w:val="14"/>
        <w:tblW w:w="8522" w:type="dxa"/>
        <w:tblInd w:w="0" w:type="dxa"/>
        <w:shd w:val="clear" w:color="auto" w:fill="FFFFFF" w:themeFill="background1"/>
        <w:tblLayout w:type="autofit"/>
        <w:tblCellMar>
          <w:top w:w="0" w:type="dxa"/>
          <w:left w:w="108" w:type="dxa"/>
          <w:bottom w:w="0" w:type="dxa"/>
          <w:right w:w="108" w:type="dxa"/>
        </w:tblCellMar>
      </w:tblPr>
      <w:tblGrid>
        <w:gridCol w:w="1182"/>
        <w:gridCol w:w="2853"/>
        <w:gridCol w:w="1344"/>
        <w:gridCol w:w="1718"/>
        <w:gridCol w:w="1425"/>
      </w:tblGrid>
      <w:tr>
        <w:tblPrEx>
          <w:shd w:val="clear" w:color="auto" w:fill="FFFFFF" w:themeFill="background1"/>
          <w:tblCellMar>
            <w:top w:w="0" w:type="dxa"/>
            <w:left w:w="108" w:type="dxa"/>
            <w:bottom w:w="0" w:type="dxa"/>
            <w:right w:w="108" w:type="dxa"/>
          </w:tblCellMar>
        </w:tblPrEx>
        <w:trPr>
          <w:trHeight w:val="485" w:hRule="atLeast"/>
        </w:trPr>
        <w:tc>
          <w:tcPr>
            <w:tcW w:w="1182"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学历层次</w:t>
            </w:r>
          </w:p>
        </w:tc>
        <w:tc>
          <w:tcPr>
            <w:tcW w:w="285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专业名称</w:t>
            </w:r>
          </w:p>
        </w:tc>
        <w:tc>
          <w:tcPr>
            <w:tcW w:w="1344"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总人数</w:t>
            </w:r>
          </w:p>
        </w:tc>
        <w:tc>
          <w:tcPr>
            <w:tcW w:w="1718"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就业人数</w:t>
            </w:r>
          </w:p>
        </w:tc>
        <w:tc>
          <w:tcPr>
            <w:tcW w:w="142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bidi="ar"/>
              </w:rPr>
              <w:t>就业率</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90" w:hRule="atLeast"/>
        </w:trPr>
        <w:tc>
          <w:tcPr>
            <w:tcW w:w="1182"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widowControl/>
              <w:spacing w:line="48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bidi="ar"/>
              </w:rPr>
              <w:t>本</w:t>
            </w:r>
          </w:p>
          <w:p>
            <w:pPr>
              <w:widowControl/>
              <w:spacing w:line="480" w:lineRule="auto"/>
              <w:jc w:val="center"/>
              <w:rPr>
                <w:rFonts w:hint="default" w:ascii="Times New Roman" w:hAnsi="Times New Roman" w:eastAsia="宋体" w:cs="Times New Roman"/>
                <w:b/>
                <w:bCs/>
                <w:kern w:val="0"/>
                <w:sz w:val="24"/>
                <w:szCs w:val="24"/>
              </w:rPr>
            </w:pPr>
          </w:p>
          <w:p>
            <w:pPr>
              <w:widowControl/>
              <w:spacing w:line="48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bidi="ar"/>
              </w:rPr>
              <w:t>科</w:t>
            </w: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电子信息工程</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69</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53</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76.81</w:t>
            </w:r>
          </w:p>
        </w:tc>
      </w:tr>
      <w:tr>
        <w:tblPrEx>
          <w:tblCellMar>
            <w:top w:w="0" w:type="dxa"/>
            <w:left w:w="108" w:type="dxa"/>
            <w:bottom w:w="0" w:type="dxa"/>
            <w:right w:w="108" w:type="dxa"/>
          </w:tblCellMar>
        </w:tblPrEx>
        <w:trPr>
          <w:trHeight w:val="590" w:hRule="atLeast"/>
        </w:trPr>
        <w:tc>
          <w:tcPr>
            <w:tcW w:w="1182" w:type="dxa"/>
            <w:vMerge w:val="continue"/>
            <w:tcBorders>
              <w:left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网络工程</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6</w:t>
            </w:r>
            <w:r>
              <w:rPr>
                <w:rFonts w:hint="eastAsia" w:ascii="宋体" w:hAnsi="宋体" w:eastAsia="宋体" w:cs="宋体"/>
                <w:sz w:val="24"/>
                <w:szCs w:val="24"/>
                <w:lang w:val="en-US" w:eastAsia="zh-CN"/>
              </w:rPr>
              <w:t>3</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58</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92.06</w:t>
            </w:r>
          </w:p>
        </w:tc>
      </w:tr>
      <w:tr>
        <w:tblPrEx>
          <w:tblCellMar>
            <w:top w:w="0" w:type="dxa"/>
            <w:left w:w="108" w:type="dxa"/>
            <w:bottom w:w="0" w:type="dxa"/>
            <w:right w:w="108" w:type="dxa"/>
          </w:tblCellMar>
        </w:tblPrEx>
        <w:trPr>
          <w:trHeight w:val="590" w:hRule="atLeast"/>
        </w:trPr>
        <w:tc>
          <w:tcPr>
            <w:tcW w:w="1182" w:type="dxa"/>
            <w:vMerge w:val="continue"/>
            <w:tcBorders>
              <w:left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通信工程</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73</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6</w:t>
            </w:r>
            <w:r>
              <w:rPr>
                <w:rFonts w:hint="eastAsia" w:ascii="宋体" w:hAnsi="宋体" w:eastAsia="宋体" w:cs="宋体"/>
                <w:sz w:val="24"/>
                <w:szCs w:val="24"/>
                <w:lang w:val="en-US" w:eastAsia="zh-CN"/>
              </w:rPr>
              <w:t>7</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91.78</w:t>
            </w:r>
          </w:p>
        </w:tc>
      </w:tr>
      <w:tr>
        <w:tblPrEx>
          <w:tblCellMar>
            <w:top w:w="0" w:type="dxa"/>
            <w:left w:w="108" w:type="dxa"/>
            <w:bottom w:w="0" w:type="dxa"/>
            <w:right w:w="108" w:type="dxa"/>
          </w:tblCellMar>
        </w:tblPrEx>
        <w:trPr>
          <w:trHeight w:val="590" w:hRule="atLeast"/>
        </w:trPr>
        <w:tc>
          <w:tcPr>
            <w:tcW w:w="1182" w:type="dxa"/>
            <w:vMerge w:val="continue"/>
            <w:tcBorders>
              <w:left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计算机科学与技术</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78</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6</w:t>
            </w:r>
            <w:r>
              <w:rPr>
                <w:rFonts w:hint="eastAsia" w:ascii="宋体" w:hAnsi="宋体" w:eastAsia="宋体" w:cs="宋体"/>
                <w:sz w:val="24"/>
                <w:szCs w:val="24"/>
                <w:lang w:val="en-US" w:eastAsia="zh-CN"/>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78.21</w:t>
            </w:r>
          </w:p>
        </w:tc>
      </w:tr>
      <w:tr>
        <w:tblPrEx>
          <w:tblCellMar>
            <w:top w:w="0" w:type="dxa"/>
            <w:left w:w="108" w:type="dxa"/>
            <w:bottom w:w="0" w:type="dxa"/>
            <w:right w:w="108" w:type="dxa"/>
          </w:tblCellMar>
        </w:tblPrEx>
        <w:trPr>
          <w:trHeight w:val="590" w:hRule="atLeast"/>
        </w:trPr>
        <w:tc>
          <w:tcPr>
            <w:tcW w:w="1182" w:type="dxa"/>
            <w:vMerge w:val="continue"/>
            <w:tcBorders>
              <w:left w:val="single" w:color="000000" w:sz="4" w:space="0"/>
              <w:bottom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电气工程及其自动化</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98</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93</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94.90</w:t>
            </w:r>
          </w:p>
        </w:tc>
      </w:tr>
    </w:tbl>
    <w:p>
      <w:pPr>
        <w:pStyle w:val="13"/>
        <w:numPr>
          <w:ilvl w:val="0"/>
          <w:numId w:val="0"/>
        </w:numPr>
        <w:spacing w:line="360" w:lineRule="auto"/>
        <w:ind w:leftChars="0" w:right="0" w:rightChars="0"/>
        <w:jc w:val="both"/>
        <w:rPr>
          <w:rFonts w:hint="eastAsia" w:ascii="Times New Roman" w:hAnsi="Times New Roman" w:eastAsia="宋体" w:cs="Times New Roman"/>
          <w:b/>
          <w:color w:val="auto"/>
          <w:kern w:val="2"/>
          <w:sz w:val="28"/>
          <w:szCs w:val="24"/>
          <w:lang w:val="en-US" w:eastAsia="zh-CN" w:bidi="ar-SA"/>
        </w:rPr>
      </w:pPr>
    </w:p>
    <w:p>
      <w:pPr>
        <w:pStyle w:val="13"/>
        <w:numPr>
          <w:ilvl w:val="0"/>
          <w:numId w:val="0"/>
        </w:numPr>
        <w:spacing w:line="360" w:lineRule="auto"/>
        <w:ind w:leftChars="0" w:right="0" w:rightChars="0"/>
        <w:jc w:val="both"/>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2、毕业生就业形式统计</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firstLineChars="200"/>
        <w:jc w:val="both"/>
        <w:textAlignment w:val="auto"/>
        <w:rPr>
          <w:rFonts w:hint="eastAsia" w:ascii="Times New Roman" w:hAnsi="Times New Roman" w:eastAsia="宋体" w:cs="Times New Roman"/>
          <w:kern w:val="2"/>
          <w:sz w:val="28"/>
          <w:szCs w:val="28"/>
          <w:lang w:val="en-US" w:eastAsia="zh-CN"/>
        </w:rPr>
      </w:pPr>
      <w:r>
        <w:rPr>
          <w:rFonts w:hint="eastAsia" w:ascii="Times New Roman" w:hAnsi="Times New Roman" w:eastAsia="宋体" w:cs="Times New Roman"/>
          <w:kern w:val="2"/>
          <w:sz w:val="28"/>
          <w:szCs w:val="28"/>
          <w:shd w:val="clear"/>
          <w:lang w:val="en-US" w:eastAsia="zh-CN"/>
        </w:rPr>
        <w:t>我院2020届毕业生整体就业率为87.14%，其中</w:t>
      </w:r>
      <w:r>
        <w:rPr>
          <w:rFonts w:hint="eastAsia" w:ascii="Times New Roman" w:hAnsi="Times New Roman" w:eastAsia="宋体" w:cs="Times New Roman"/>
          <w:kern w:val="2"/>
          <w:sz w:val="28"/>
          <w:szCs w:val="28"/>
          <w:lang w:val="en-US" w:eastAsia="zh-CN"/>
        </w:rPr>
        <w:t>，签订就业协议人数比例为41.47%，签订劳动合同人数比例为24.41%，其他形式就业人数比例为9.19%，国内升学人数比例为11.55%，出国出境深造人数比例为0.26%（表2）。</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firstLineChars="200"/>
        <w:jc w:val="both"/>
        <w:textAlignment w:val="auto"/>
        <w:rPr>
          <w:rFonts w:hint="default" w:ascii="Times New Roman" w:hAnsi="Times New Roman" w:eastAsia="宋体" w:cs="Times New Roman"/>
          <w:kern w:val="2"/>
          <w:sz w:val="28"/>
          <w:szCs w:val="28"/>
          <w:lang w:val="en-US" w:eastAsia="zh-CN"/>
        </w:rPr>
      </w:pPr>
    </w:p>
    <w:p>
      <w:pPr>
        <w:pStyle w:val="13"/>
        <w:spacing w:line="360" w:lineRule="auto"/>
        <w:ind w:right="0"/>
        <w:jc w:val="center"/>
        <w:rPr>
          <w:rFonts w:hint="eastAsia" w:ascii="Times New Roman" w:hAnsi="Times New Roman" w:eastAsia="宋体" w:cs="Times New Roman"/>
          <w:b/>
          <w:bCs/>
          <w:kern w:val="2"/>
          <w:sz w:val="24"/>
          <w:szCs w:val="24"/>
          <w:lang w:val="en-US" w:eastAsia="zh-CN"/>
        </w:rPr>
      </w:pPr>
    </w:p>
    <w:p>
      <w:pPr>
        <w:pStyle w:val="13"/>
        <w:spacing w:line="360" w:lineRule="auto"/>
        <w:ind w:right="0"/>
        <w:jc w:val="center"/>
        <w:rPr>
          <w:rFonts w:hint="default" w:ascii="Times New Roman" w:hAnsi="Times New Roman" w:eastAsia="宋体" w:cs="Times New Roman"/>
          <w:b/>
          <w:bCs/>
          <w:kern w:val="2"/>
          <w:sz w:val="24"/>
          <w:szCs w:val="24"/>
          <w:lang w:val="en-US" w:eastAsia="zh-CN"/>
        </w:rPr>
      </w:pPr>
      <w:r>
        <w:rPr>
          <w:rFonts w:hint="eastAsia" w:ascii="Times New Roman" w:hAnsi="Times New Roman" w:eastAsia="宋体" w:cs="Times New Roman"/>
          <w:b/>
          <w:bCs/>
          <w:kern w:val="2"/>
          <w:sz w:val="24"/>
          <w:szCs w:val="24"/>
          <w:lang w:val="en-US" w:eastAsia="zh-CN"/>
        </w:rPr>
        <w:t>表2  信息科学与工程学院2020届毕业生就业形式统计</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2442"/>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817"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就业情况</w:t>
            </w:r>
          </w:p>
        </w:tc>
        <w:tc>
          <w:tcPr>
            <w:tcW w:w="2442"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就业形式</w:t>
            </w:r>
          </w:p>
        </w:tc>
        <w:tc>
          <w:tcPr>
            <w:tcW w:w="2130"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人数</w:t>
            </w:r>
          </w:p>
        </w:tc>
        <w:tc>
          <w:tcPr>
            <w:tcW w:w="2130"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restart"/>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bookmarkStart w:id="24" w:name="_Toc7352"/>
            <w:bookmarkStart w:id="25" w:name="_Toc31818"/>
            <w:bookmarkStart w:id="26" w:name="_Toc1401"/>
            <w:bookmarkStart w:id="27" w:name="_Toc28163"/>
            <w:r>
              <w:rPr>
                <w:rFonts w:hint="eastAsia" w:ascii="宋体" w:hAnsi="宋体" w:eastAsia="宋体" w:cs="宋体"/>
                <w:b/>
                <w:bCs/>
                <w:sz w:val="24"/>
                <w:szCs w:val="24"/>
                <w:lang w:eastAsia="zh-CN"/>
              </w:rPr>
              <w:t>就业</w:t>
            </w: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签订就业协议就业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w:t>
            </w:r>
            <w:r>
              <w:rPr>
                <w:rFonts w:hint="eastAsia" w:ascii="Times New Roman" w:hAnsi="Times New Roman" w:eastAsia="宋体" w:cs="Times New Roman"/>
                <w:sz w:val="24"/>
                <w:szCs w:val="24"/>
                <w:lang w:val="en-US" w:eastAsia="zh-CN"/>
              </w:rPr>
              <w:t>9</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41.</w:t>
            </w:r>
            <w:r>
              <w:rPr>
                <w:rFonts w:hint="eastAsia" w:ascii="Times New Roman" w:hAnsi="Times New Roman" w:eastAsia="宋体" w:cs="Times New Roman"/>
                <w:color w:val="000000"/>
                <w:sz w:val="24"/>
                <w:szCs w:val="24"/>
                <w:lang w:val="en-US" w:eastAsia="zh-CN"/>
              </w:rPr>
              <w:t>73</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签订劳动合同就业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93</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其他形式就业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35</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国内升学</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44</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出国出境深造</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合计</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33</w:t>
            </w:r>
            <w:r>
              <w:rPr>
                <w:rFonts w:hint="eastAsia" w:ascii="Times New Roman" w:hAnsi="Times New Roman" w:eastAsia="宋体" w:cs="Times New Roman"/>
                <w:sz w:val="24"/>
                <w:szCs w:val="24"/>
                <w:lang w:val="en-US" w:eastAsia="zh-CN"/>
              </w:rPr>
              <w:t>2</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87.14</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restart"/>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未就业</w:t>
            </w: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待就业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5</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6.56</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sz w:val="24"/>
                <w:szCs w:val="24"/>
                <w:lang w:eastAsia="zh-CN"/>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暂不就业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24</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sz w:val="24"/>
                <w:szCs w:val="24"/>
                <w:lang w:eastAsia="zh-CN"/>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合计</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49</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12.86</w:t>
            </w:r>
            <w:r>
              <w:rPr>
                <w:rFonts w:hint="default" w:ascii="Times New Roman" w:hAnsi="Times New Roman" w:eastAsia="宋体" w:cs="Times New Roman"/>
                <w:color w:val="000000"/>
                <w:sz w:val="24"/>
                <w:szCs w:val="24"/>
              </w:rPr>
              <w:t>%</w:t>
            </w:r>
          </w:p>
        </w:tc>
      </w:tr>
      <w:bookmarkEnd w:id="24"/>
      <w:bookmarkEnd w:id="25"/>
      <w:bookmarkEnd w:id="26"/>
      <w:bookmarkEnd w:id="27"/>
    </w:tbl>
    <w:p>
      <w:pPr>
        <w:pStyle w:val="4"/>
        <w:spacing w:before="0" w:after="0" w:line="360" w:lineRule="auto"/>
        <w:rPr>
          <w:rFonts w:hint="eastAsia" w:ascii="Times New Roman" w:hAnsi="Times New Roman" w:eastAsia="宋体" w:cs="Times New Roman"/>
          <w:color w:val="FF0000"/>
          <w:szCs w:val="28"/>
          <w:lang w:eastAsia="zh-CN"/>
        </w:rPr>
      </w:pPr>
      <w:bookmarkStart w:id="28" w:name="_Toc1392"/>
      <w:bookmarkStart w:id="29" w:name="_Toc31310"/>
      <w:bookmarkStart w:id="30" w:name="_Toc14132"/>
      <w:bookmarkStart w:id="31" w:name="_Toc17160"/>
      <w:bookmarkStart w:id="32" w:name="_Toc4940"/>
      <w:r>
        <w:rPr>
          <w:rFonts w:hint="eastAsia" w:ascii="Times New Roman" w:hAnsi="Times New Roman" w:eastAsia="宋体" w:cs="Times New Roman"/>
          <w:szCs w:val="28"/>
          <w:lang w:val="en-US" w:eastAsia="zh-CN"/>
        </w:rPr>
        <w:t>3</w:t>
      </w:r>
      <w:r>
        <w:rPr>
          <w:rFonts w:hint="default" w:ascii="Times New Roman" w:hAnsi="Times New Roman" w:eastAsia="宋体" w:cs="Times New Roman"/>
          <w:szCs w:val="22"/>
        </w:rPr>
        <w:t>、</w:t>
      </w:r>
      <w:bookmarkEnd w:id="28"/>
      <w:bookmarkEnd w:id="29"/>
      <w:bookmarkEnd w:id="30"/>
      <w:bookmarkEnd w:id="31"/>
      <w:bookmarkEnd w:id="32"/>
      <w:r>
        <w:rPr>
          <w:rFonts w:hint="eastAsia" w:ascii="Times New Roman" w:hAnsi="Times New Roman" w:eastAsia="宋体" w:cs="Times New Roman"/>
          <w:szCs w:val="22"/>
          <w:lang w:eastAsia="zh-CN"/>
        </w:rPr>
        <w:t>毕业生就业单位性质分析</w:t>
      </w:r>
    </w:p>
    <w:p>
      <w:pPr>
        <w:ind w:left="0" w:right="0" w:firstLine="640"/>
        <w:rPr>
          <w:rFonts w:hint="default" w:ascii="Times New Roman" w:hAnsi="Times New Roman" w:eastAsia="宋体" w:cs="Times New Roman"/>
        </w:rPr>
      </w:pPr>
      <w:r>
        <w:rPr>
          <w:rFonts w:hint="default" w:ascii="Times New Roman" w:hAnsi="Times New Roman" w:eastAsia="宋体" w:cs="Times New Roman"/>
          <w:sz w:val="28"/>
          <w:szCs w:val="28"/>
        </w:rPr>
        <w:t>我院20</w:t>
      </w:r>
      <w:r>
        <w:rPr>
          <w:rFonts w:hint="eastAsia"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rPr>
        <w:t>届毕业生就业单位性质分布中，最多的是企业单位，占</w:t>
      </w:r>
      <w:r>
        <w:rPr>
          <w:rFonts w:hint="eastAsia" w:ascii="Times New Roman" w:hAnsi="Times New Roman" w:eastAsia="宋体" w:cs="Times New Roman"/>
          <w:sz w:val="28"/>
          <w:szCs w:val="28"/>
          <w:lang w:val="en-US" w:eastAsia="zh-CN"/>
        </w:rPr>
        <w:t>77.11</w:t>
      </w:r>
      <w:r>
        <w:rPr>
          <w:rFonts w:hint="default" w:ascii="Times New Roman" w:hAnsi="Times New Roman" w:eastAsia="宋体" w:cs="Times New Roman"/>
          <w:sz w:val="28"/>
          <w:szCs w:val="28"/>
        </w:rPr>
        <w:t>%；其次是继续深造与出国，占</w:t>
      </w:r>
      <w:r>
        <w:rPr>
          <w:rFonts w:hint="eastAsia" w:ascii="Times New Roman" w:hAnsi="Times New Roman" w:eastAsia="宋体" w:cs="Times New Roman"/>
          <w:sz w:val="28"/>
          <w:szCs w:val="28"/>
          <w:lang w:val="en-US" w:eastAsia="zh-CN"/>
        </w:rPr>
        <w:t>13.55</w:t>
      </w:r>
      <w:r>
        <w:rPr>
          <w:rFonts w:hint="default" w:ascii="Times New Roman" w:hAnsi="Times New Roman" w:eastAsia="宋体" w:cs="Times New Roman"/>
          <w:sz w:val="28"/>
          <w:szCs w:val="28"/>
        </w:rPr>
        <w:t>%；然后依次是</w:t>
      </w:r>
      <w:r>
        <w:rPr>
          <w:rFonts w:hint="eastAsia" w:ascii="Times New Roman" w:hAnsi="Times New Roman" w:eastAsia="宋体" w:cs="Times New Roman"/>
          <w:sz w:val="28"/>
          <w:szCs w:val="28"/>
          <w:lang w:eastAsia="zh-CN"/>
        </w:rPr>
        <w:t>机关单位、其他事业单位、医疗卫生、自由职业、自主创业</w:t>
      </w:r>
      <w:r>
        <w:rPr>
          <w:rFonts w:hint="default" w:ascii="Times New Roman" w:hAnsi="Times New Roman" w:eastAsia="宋体" w:cs="Times New Roman"/>
          <w:sz w:val="28"/>
          <w:szCs w:val="28"/>
        </w:rPr>
        <w:t>等</w:t>
      </w:r>
      <w:r>
        <w:rPr>
          <w:rFonts w:hint="eastAsia" w:ascii="Times New Roman" w:hAnsi="Times New Roman" w:eastAsia="宋体" w:cs="Times New Roman"/>
          <w:sz w:val="28"/>
          <w:szCs w:val="28"/>
          <w:lang w:eastAsia="zh-CN"/>
        </w:rPr>
        <w:t>（表</w:t>
      </w:r>
      <w:r>
        <w:rPr>
          <w:rFonts w:hint="eastAsia"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ind w:left="0" w:right="0" w:firstLine="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ab/>
      </w:r>
      <w:r>
        <w:rPr>
          <w:rFonts w:hint="default" w:ascii="Times New Roman" w:hAnsi="Times New Roman" w:eastAsia="宋体" w:cs="Times New Roman"/>
          <w:b/>
          <w:bCs/>
          <w:color w:val="auto"/>
          <w:kern w:val="2"/>
          <w:sz w:val="24"/>
          <w:szCs w:val="24"/>
          <w:lang w:val="en-US" w:eastAsia="zh-CN" w:bidi="ar-SA"/>
        </w:rPr>
        <w:tab/>
      </w: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 xml:space="preserve">3  </w:t>
      </w:r>
      <w:r>
        <w:rPr>
          <w:rFonts w:hint="default" w:ascii="Times New Roman" w:hAnsi="Times New Roman" w:eastAsia="宋体" w:cs="Times New Roman"/>
          <w:b/>
          <w:bCs/>
          <w:color w:val="auto"/>
          <w:kern w:val="2"/>
          <w:sz w:val="24"/>
          <w:szCs w:val="24"/>
          <w:lang w:val="en-US" w:eastAsia="zh-CN" w:bidi="ar-SA"/>
        </w:rPr>
        <w:t>信息科学与工程学院2</w:t>
      </w:r>
      <w:r>
        <w:rPr>
          <w:rFonts w:hint="eastAsia" w:ascii="Times New Roman" w:hAnsi="Times New Roman" w:eastAsia="宋体" w:cs="Times New Roman"/>
          <w:b/>
          <w:bCs/>
          <w:color w:val="auto"/>
          <w:kern w:val="2"/>
          <w:sz w:val="24"/>
          <w:szCs w:val="24"/>
          <w:lang w:val="en-US" w:eastAsia="zh-CN" w:bidi="ar-SA"/>
        </w:rPr>
        <w:t>020</w:t>
      </w:r>
      <w:r>
        <w:rPr>
          <w:rFonts w:hint="default" w:ascii="Times New Roman" w:hAnsi="Times New Roman" w:eastAsia="宋体" w:cs="Times New Roman"/>
          <w:b/>
          <w:bCs/>
          <w:color w:val="auto"/>
          <w:kern w:val="2"/>
          <w:sz w:val="24"/>
          <w:szCs w:val="24"/>
          <w:lang w:val="en-US" w:eastAsia="zh-CN" w:bidi="ar-SA"/>
        </w:rPr>
        <w:t>届毕业生就业单位性质分布</w:t>
      </w:r>
    </w:p>
    <w:tbl>
      <w:tblPr>
        <w:tblStyle w:val="14"/>
        <w:tblW w:w="8385" w:type="dxa"/>
        <w:tblInd w:w="-147" w:type="dxa"/>
        <w:tblLayout w:type="autofit"/>
        <w:tblCellMar>
          <w:top w:w="0" w:type="dxa"/>
          <w:left w:w="108" w:type="dxa"/>
          <w:bottom w:w="0" w:type="dxa"/>
          <w:right w:w="108" w:type="dxa"/>
        </w:tblCellMar>
      </w:tblPr>
      <w:tblGrid>
        <w:gridCol w:w="790"/>
        <w:gridCol w:w="2700"/>
        <w:gridCol w:w="2422"/>
        <w:gridCol w:w="2473"/>
      </w:tblGrid>
      <w:tr>
        <w:tblPrEx>
          <w:tblCellMar>
            <w:top w:w="0" w:type="dxa"/>
            <w:left w:w="108" w:type="dxa"/>
            <w:bottom w:w="0" w:type="dxa"/>
            <w:right w:w="108" w:type="dxa"/>
          </w:tblCellMar>
        </w:tblPrEx>
        <w:trPr>
          <w:trHeight w:val="567" w:hRule="exact"/>
        </w:trPr>
        <w:tc>
          <w:tcPr>
            <w:tcW w:w="79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层次</w:t>
            </w: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单位性质</w:t>
            </w:r>
          </w:p>
        </w:tc>
        <w:tc>
          <w:tcPr>
            <w:tcW w:w="2422"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人数</w:t>
            </w:r>
          </w:p>
        </w:tc>
        <w:tc>
          <w:tcPr>
            <w:tcW w:w="247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rPr>
            </w:pPr>
            <w:r>
              <w:rPr>
                <w:rFonts w:hint="default" w:ascii="Times New Roman" w:hAnsi="Times New Roman" w:eastAsia="宋体" w:cs="Times New Roman"/>
                <w:b/>
                <w:color w:val="000000"/>
                <w:kern w:val="0"/>
                <w:sz w:val="22"/>
                <w:szCs w:val="22"/>
                <w:lang w:bidi="ar"/>
              </w:rPr>
              <w:t>百分比（%）</w:t>
            </w:r>
          </w:p>
        </w:tc>
      </w:tr>
      <w:tr>
        <w:tblPrEx>
          <w:tblCellMar>
            <w:top w:w="0" w:type="dxa"/>
            <w:left w:w="108" w:type="dxa"/>
            <w:bottom w:w="0" w:type="dxa"/>
            <w:right w:w="108" w:type="dxa"/>
          </w:tblCellMar>
        </w:tblPrEx>
        <w:trPr>
          <w:trHeight w:val="567" w:hRule="exact"/>
        </w:trPr>
        <w:tc>
          <w:tcPr>
            <w:tcW w:w="790" w:type="dxa"/>
            <w:vMerge w:val="restart"/>
            <w:tcBorders>
              <w:top w:val="single" w:color="000000" w:sz="4" w:space="0"/>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本</w:t>
            </w:r>
          </w:p>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科</w:t>
            </w:r>
          </w:p>
          <w:p>
            <w:pPr>
              <w:spacing w:line="240" w:lineRule="auto"/>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8"/>
                <w:szCs w:val="28"/>
                <w:lang w:bidi="ar"/>
              </w:rPr>
              <w:t>生</w:t>
            </w: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lang w:bidi="ar"/>
              </w:rPr>
              <w:t>企业单位</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25</w:t>
            </w:r>
            <w:r>
              <w:rPr>
                <w:rFonts w:hint="eastAsia" w:ascii="Times New Roman" w:hAnsi="Times New Roman" w:eastAsia="宋体" w:cs="Times New Roman"/>
                <w:color w:val="000000"/>
                <w:kern w:val="0"/>
                <w:sz w:val="24"/>
                <w:szCs w:val="24"/>
                <w:lang w:val="en-US" w:eastAsia="zh-CN"/>
              </w:rPr>
              <w:t>6</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77.</w:t>
            </w:r>
            <w:r>
              <w:rPr>
                <w:rFonts w:hint="eastAsia" w:ascii="Times New Roman" w:hAnsi="Times New Roman" w:eastAsia="宋体" w:cs="Times New Roman"/>
                <w:color w:val="000000"/>
                <w:kern w:val="0"/>
                <w:sz w:val="24"/>
                <w:szCs w:val="24"/>
                <w:lang w:val="en-US" w:eastAsia="zh-CN"/>
              </w:rPr>
              <w:t>11</w:t>
            </w:r>
            <w:r>
              <w:rPr>
                <w:rFonts w:hint="default"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继续深造与出国</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45</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13.</w:t>
            </w:r>
            <w:r>
              <w:rPr>
                <w:rFonts w:hint="eastAsia" w:ascii="Times New Roman" w:hAnsi="Times New Roman" w:eastAsia="宋体" w:cs="Times New Roman"/>
                <w:color w:val="000000"/>
                <w:kern w:val="0"/>
                <w:sz w:val="24"/>
                <w:szCs w:val="24"/>
                <w:lang w:val="en-US" w:eastAsia="zh-CN"/>
              </w:rPr>
              <w:t>55</w:t>
            </w:r>
            <w:r>
              <w:rPr>
                <w:rFonts w:hint="default"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rPr>
              <w:t>其它教学单位</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15</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4.5</w:t>
            </w:r>
            <w:r>
              <w:rPr>
                <w:rFonts w:hint="eastAsia" w:ascii="Times New Roman" w:hAnsi="Times New Roman" w:eastAsia="宋体" w:cs="Times New Roman"/>
                <w:color w:val="000000"/>
                <w:kern w:val="0"/>
                <w:sz w:val="24"/>
                <w:szCs w:val="24"/>
                <w:lang w:val="en-US" w:eastAsia="zh-CN"/>
              </w:rPr>
              <w:t>2</w:t>
            </w:r>
            <w:r>
              <w:rPr>
                <w:rFonts w:hint="default"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lang w:bidi="ar"/>
              </w:rPr>
              <w:t>机关单位</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8</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2.4</w:t>
            </w:r>
            <w:r>
              <w:rPr>
                <w:rFonts w:hint="eastAsia" w:ascii="Times New Roman" w:hAnsi="Times New Roman" w:eastAsia="宋体" w:cs="Times New Roman"/>
                <w:color w:val="000000"/>
                <w:kern w:val="0"/>
                <w:sz w:val="24"/>
                <w:szCs w:val="24"/>
                <w:lang w:val="en-US" w:eastAsia="zh-CN"/>
              </w:rPr>
              <w:t>1</w:t>
            </w:r>
            <w:r>
              <w:rPr>
                <w:rFonts w:hint="default"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rPr>
              <w:t>其他事业单位</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4</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1.2</w:t>
            </w:r>
            <w:r>
              <w:rPr>
                <w:rFonts w:hint="eastAsia" w:ascii="Times New Roman" w:hAnsi="Times New Roman" w:eastAsia="宋体" w:cs="Times New Roman"/>
                <w:color w:val="000000"/>
                <w:kern w:val="0"/>
                <w:sz w:val="24"/>
                <w:szCs w:val="24"/>
                <w:lang w:val="en-US" w:eastAsia="zh-CN"/>
              </w:rPr>
              <w:t>0</w:t>
            </w:r>
            <w:r>
              <w:rPr>
                <w:rFonts w:hint="default"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rPr>
              <w:t>医疗卫生</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0.30</w:t>
            </w:r>
            <w:r>
              <w:rPr>
                <w:rFonts w:hint="default" w:ascii="Times New Roman" w:hAnsi="Times New Roman" w:eastAsia="宋体" w:cs="Times New Roman"/>
                <w:color w:val="000000"/>
                <w:kern w:val="0"/>
                <w:sz w:val="24"/>
                <w:szCs w:val="24"/>
              </w:rPr>
              <w:t>%</w:t>
            </w:r>
          </w:p>
        </w:tc>
      </w:tr>
      <w:tr>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自由职业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1</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0.30</w:t>
            </w:r>
            <w:r>
              <w:rPr>
                <w:rFonts w:hint="default"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自主创业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2</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0.60</w:t>
            </w:r>
            <w:r>
              <w:rPr>
                <w:rFonts w:hint="default"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合计</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332</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100%</w:t>
            </w:r>
          </w:p>
        </w:tc>
      </w:tr>
    </w:tbl>
    <w:p>
      <w:pPr>
        <w:pStyle w:val="13"/>
        <w:spacing w:line="360" w:lineRule="auto"/>
        <w:jc w:val="both"/>
        <w:rPr>
          <w:rFonts w:hint="default" w:ascii="Times New Roman" w:hAnsi="Times New Roman" w:eastAsia="宋体" w:cs="Times New Roman"/>
          <w:kern w:val="2"/>
          <w:sz w:val="28"/>
          <w:szCs w:val="28"/>
        </w:rPr>
      </w:pPr>
      <w:r>
        <w:rPr>
          <w:rFonts w:hint="default" w:ascii="Times New Roman" w:hAnsi="Times New Roman" w:eastAsia="宋体" w:cs="Times New Roman"/>
          <w:color w:val="000000"/>
          <w:kern w:val="2"/>
          <w:sz w:val="21"/>
          <w:szCs w:val="22"/>
          <w:lang w:bidi="ar"/>
        </w:rPr>
        <w:t xml:space="preserve">    注：本报告将毕业生就业单位性质分为机关单位</w:t>
      </w:r>
      <w:r>
        <w:rPr>
          <w:rFonts w:hint="eastAsia" w:ascii="Times New Roman" w:hAnsi="Times New Roman" w:eastAsia="宋体" w:cs="Times New Roman"/>
          <w:color w:val="000000"/>
          <w:kern w:val="2"/>
          <w:sz w:val="21"/>
          <w:szCs w:val="22"/>
          <w:lang w:eastAsia="zh-CN" w:bidi="ar"/>
        </w:rPr>
        <w:t>（包括部队和地方基层项目）</w:t>
      </w:r>
      <w:r>
        <w:rPr>
          <w:rFonts w:hint="default" w:ascii="Times New Roman" w:hAnsi="Times New Roman" w:eastAsia="宋体" w:cs="Times New Roman"/>
          <w:color w:val="000000"/>
          <w:kern w:val="2"/>
          <w:sz w:val="21"/>
          <w:szCs w:val="22"/>
          <w:lang w:bidi="ar"/>
        </w:rPr>
        <w:t>、其他事业单位、企业单位</w:t>
      </w:r>
      <w:r>
        <w:rPr>
          <w:rFonts w:hint="eastAsia" w:ascii="Times New Roman" w:hAnsi="Times New Roman" w:eastAsia="宋体" w:cs="Times New Roman"/>
          <w:color w:val="000000"/>
          <w:kern w:val="2"/>
          <w:sz w:val="21"/>
          <w:szCs w:val="22"/>
          <w:lang w:eastAsia="zh-CN" w:bidi="ar"/>
        </w:rPr>
        <w:t>（包括国有企业、三资企业以及其他企业）</w:t>
      </w:r>
      <w:r>
        <w:rPr>
          <w:rFonts w:hint="default" w:ascii="Times New Roman" w:hAnsi="Times New Roman" w:eastAsia="宋体" w:cs="Times New Roman"/>
          <w:color w:val="000000"/>
          <w:kern w:val="2"/>
          <w:sz w:val="21"/>
          <w:szCs w:val="22"/>
          <w:lang w:bidi="ar"/>
        </w:rPr>
        <w:t>、医疗卫生、自主创业以及继续深造与出国等几种类型。</w:t>
      </w:r>
    </w:p>
    <w:p>
      <w:pPr>
        <w:pStyle w:val="4"/>
        <w:numPr>
          <w:ilvl w:val="0"/>
          <w:numId w:val="2"/>
        </w:numPr>
        <w:spacing w:before="0" w:after="0" w:line="360" w:lineRule="auto"/>
        <w:rPr>
          <w:rFonts w:hint="eastAsia" w:ascii="Times New Roman" w:hAnsi="Times New Roman" w:eastAsia="宋体" w:cs="Times New Roman"/>
          <w:szCs w:val="22"/>
          <w:lang w:eastAsia="zh-CN"/>
        </w:rPr>
      </w:pPr>
      <w:bookmarkStart w:id="33" w:name="_Toc7208"/>
      <w:bookmarkStart w:id="34" w:name="_Toc17164"/>
      <w:bookmarkStart w:id="35" w:name="_Toc23699"/>
      <w:bookmarkStart w:id="36" w:name="_Toc25688"/>
      <w:bookmarkStart w:id="37" w:name="_Toc27753"/>
      <w:r>
        <w:rPr>
          <w:rFonts w:hint="eastAsia" w:ascii="Times New Roman" w:hAnsi="Times New Roman" w:eastAsia="宋体" w:cs="Times New Roman"/>
          <w:szCs w:val="22"/>
          <w:lang w:eastAsia="zh-CN"/>
        </w:rPr>
        <w:t>毕业生就业单位行业分析</w:t>
      </w:r>
    </w:p>
    <w:p>
      <w:pPr>
        <w:spacing w:line="360" w:lineRule="auto"/>
        <w:ind w:left="0" w:right="0" w:firstLine="64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按就业单位行业统计，我院2020届毕业生就业领域集中在</w:t>
      </w:r>
      <w:r>
        <w:rPr>
          <w:rFonts w:hint="default" w:ascii="Times New Roman" w:hAnsi="Times New Roman" w:eastAsia="宋体" w:cs="Times New Roman"/>
          <w:sz w:val="28"/>
          <w:szCs w:val="28"/>
          <w:lang w:val="en-US" w:eastAsia="zh-CN"/>
        </w:rPr>
        <w:t>信息传输、软件和信息技术服务业</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电力、热力、燃气及水生产和供应业</w:t>
      </w:r>
      <w:r>
        <w:rPr>
          <w:rFonts w:hint="eastAsia" w:ascii="Times New Roman" w:hAnsi="Times New Roman" w:eastAsia="宋体" w:cs="Times New Roman"/>
          <w:sz w:val="28"/>
          <w:szCs w:val="28"/>
          <w:lang w:val="en-US" w:eastAsia="zh-CN"/>
        </w:rPr>
        <w:t>、高等院校/科研机构以及服务业，就业人数占83.13%，制造业、政府机关/公共服务、金融业、卫生和社会工作等行业人数占比较少，占就业人数的16.87%（表4）。</w:t>
      </w:r>
    </w:p>
    <w:p>
      <w:pPr>
        <w:spacing w:line="360" w:lineRule="auto"/>
        <w:ind w:right="0"/>
        <w:jc w:val="center"/>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表4  信息科学与工程学院2020届毕业生就业单位行业分析</w:t>
      </w:r>
    </w:p>
    <w:tbl>
      <w:tblPr>
        <w:tblStyle w:val="14"/>
        <w:tblW w:w="8385" w:type="dxa"/>
        <w:tblInd w:w="-147" w:type="dxa"/>
        <w:tblLayout w:type="autofit"/>
        <w:tblCellMar>
          <w:top w:w="0" w:type="dxa"/>
          <w:left w:w="108" w:type="dxa"/>
          <w:bottom w:w="0" w:type="dxa"/>
          <w:right w:w="108" w:type="dxa"/>
        </w:tblCellMar>
      </w:tblPr>
      <w:tblGrid>
        <w:gridCol w:w="790"/>
        <w:gridCol w:w="4061"/>
        <w:gridCol w:w="1680"/>
        <w:gridCol w:w="1854"/>
      </w:tblGrid>
      <w:tr>
        <w:tblPrEx>
          <w:tblCellMar>
            <w:top w:w="0" w:type="dxa"/>
            <w:left w:w="108" w:type="dxa"/>
            <w:bottom w:w="0" w:type="dxa"/>
            <w:right w:w="108" w:type="dxa"/>
          </w:tblCellMar>
        </w:tblPrEx>
        <w:trPr>
          <w:trHeight w:val="567" w:hRule="exact"/>
        </w:trPr>
        <w:tc>
          <w:tcPr>
            <w:tcW w:w="79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层次</w:t>
            </w: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kern w:val="0"/>
                <w:sz w:val="24"/>
                <w:lang w:eastAsia="zh-CN"/>
              </w:rPr>
            </w:pPr>
            <w:r>
              <w:rPr>
                <w:rFonts w:hint="default" w:ascii="Times New Roman" w:hAnsi="Times New Roman" w:eastAsia="宋体" w:cs="Times New Roman"/>
                <w:b/>
                <w:kern w:val="0"/>
                <w:sz w:val="24"/>
                <w:lang w:bidi="ar"/>
              </w:rPr>
              <w:t>单位</w:t>
            </w:r>
            <w:r>
              <w:rPr>
                <w:rFonts w:hint="eastAsia" w:ascii="Times New Roman" w:hAnsi="Times New Roman" w:eastAsia="宋体" w:cs="Times New Roman"/>
                <w:b/>
                <w:kern w:val="0"/>
                <w:sz w:val="24"/>
                <w:lang w:eastAsia="zh-CN" w:bidi="ar"/>
              </w:rPr>
              <w:t>行业</w:t>
            </w:r>
          </w:p>
        </w:tc>
        <w:tc>
          <w:tcPr>
            <w:tcW w:w="168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人数</w:t>
            </w:r>
          </w:p>
        </w:tc>
        <w:tc>
          <w:tcPr>
            <w:tcW w:w="1854"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rPr>
            </w:pPr>
            <w:r>
              <w:rPr>
                <w:rFonts w:hint="default" w:ascii="Times New Roman" w:hAnsi="Times New Roman" w:eastAsia="宋体" w:cs="Times New Roman"/>
                <w:b/>
                <w:color w:val="000000"/>
                <w:kern w:val="0"/>
                <w:sz w:val="22"/>
                <w:szCs w:val="22"/>
                <w:lang w:bidi="ar"/>
              </w:rPr>
              <w:t>百分比（%）</w:t>
            </w:r>
          </w:p>
        </w:tc>
      </w:tr>
      <w:tr>
        <w:tblPrEx>
          <w:tblCellMar>
            <w:top w:w="0" w:type="dxa"/>
            <w:left w:w="108" w:type="dxa"/>
            <w:bottom w:w="0" w:type="dxa"/>
            <w:right w:w="108" w:type="dxa"/>
          </w:tblCellMar>
        </w:tblPrEx>
        <w:trPr>
          <w:trHeight w:val="567" w:hRule="exact"/>
        </w:trPr>
        <w:tc>
          <w:tcPr>
            <w:tcW w:w="790" w:type="dxa"/>
            <w:vMerge w:val="restart"/>
            <w:tcBorders>
              <w:top w:val="single" w:color="000000" w:sz="4" w:space="0"/>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本</w:t>
            </w:r>
          </w:p>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科</w:t>
            </w:r>
          </w:p>
          <w:p>
            <w:pPr>
              <w:spacing w:line="240" w:lineRule="auto"/>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8"/>
                <w:szCs w:val="28"/>
                <w:lang w:bidi="ar"/>
              </w:rPr>
              <w:t>生</w:t>
            </w: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rPr>
              <w:t>信息传输、软件和信息技术服务业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125</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37.65%</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电力、热力、燃气及水生产和供应业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64</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19.28%</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rPr>
              <w:t>高等院校</w:t>
            </w:r>
            <w:r>
              <w:rPr>
                <w:rFonts w:hint="eastAsia" w:ascii="Times New Roman" w:hAnsi="Times New Roman" w:eastAsia="宋体" w:cs="Times New Roman"/>
                <w:color w:val="000000"/>
                <w:kern w:val="0"/>
                <w:sz w:val="24"/>
                <w:lang w:val="en-US" w:eastAsia="zh-CN"/>
              </w:rPr>
              <w:t>/科研机构</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45</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13.55%</w:t>
            </w:r>
          </w:p>
        </w:tc>
      </w:tr>
      <w:tr>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rPr>
              <w:t>服务业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42</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12.65%</w:t>
            </w:r>
          </w:p>
        </w:tc>
      </w:tr>
      <w:tr>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制造业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24</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7.23%</w:t>
            </w:r>
          </w:p>
        </w:tc>
      </w:tr>
      <w:tr>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bidi="ar"/>
              </w:rPr>
              <w:t>政府机关</w:t>
            </w:r>
            <w:r>
              <w:rPr>
                <w:rFonts w:hint="eastAsia" w:ascii="Times New Roman" w:hAnsi="Times New Roman" w:eastAsia="宋体" w:cs="Times New Roman"/>
                <w:color w:val="000000"/>
                <w:kern w:val="0"/>
                <w:sz w:val="24"/>
                <w:lang w:val="en-US" w:eastAsia="zh-CN" w:bidi="ar"/>
              </w:rPr>
              <w:t>/公共服务</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19</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5.72%</w:t>
            </w:r>
          </w:p>
        </w:tc>
      </w:tr>
      <w:tr>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金融业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11</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3.31%</w:t>
            </w:r>
          </w:p>
        </w:tc>
      </w:tr>
      <w:tr>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rPr>
              <w:t>卫生和社会工作</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0.60%</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rPr>
              <w:t>合计</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33</w:t>
            </w:r>
            <w:r>
              <w:rPr>
                <w:rFonts w:hint="eastAsia" w:ascii="Times New Roman" w:hAnsi="Times New Roman" w:eastAsia="宋体" w:cs="Times New Roman"/>
                <w:color w:val="000000"/>
                <w:kern w:val="0"/>
                <w:sz w:val="24"/>
                <w:szCs w:val="24"/>
                <w:lang w:val="en-US" w:eastAsia="zh-CN"/>
              </w:rPr>
              <w:t>2</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100%</w:t>
            </w:r>
          </w:p>
        </w:tc>
      </w:tr>
    </w:tbl>
    <w:p>
      <w:pPr>
        <w:pStyle w:val="3"/>
        <w:shd w:val="clear"/>
        <w:spacing w:before="0" w:after="0" w:line="360" w:lineRule="auto"/>
        <w:rPr>
          <w:rFonts w:hint="default" w:ascii="Times New Roman" w:hAnsi="Times New Roman" w:eastAsia="宋体" w:cs="Times New Roman"/>
          <w:shd w:val="clear" w:color="auto" w:fill="auto"/>
        </w:rPr>
      </w:pPr>
      <w:r>
        <w:rPr>
          <w:rFonts w:hint="eastAsia" w:ascii="Times New Roman" w:hAnsi="Times New Roman" w:eastAsia="宋体" w:cs="Times New Roman"/>
          <w:sz w:val="28"/>
          <w:szCs w:val="22"/>
          <w:shd w:val="clear" w:color="auto" w:fill="auto"/>
          <w:lang w:val="en-US" w:eastAsia="zh-CN"/>
        </w:rPr>
        <w:t>5、</w:t>
      </w:r>
      <w:r>
        <w:rPr>
          <w:rFonts w:hint="default" w:ascii="Times New Roman" w:hAnsi="Times New Roman" w:eastAsia="宋体" w:cs="Times New Roman"/>
          <w:sz w:val="28"/>
          <w:szCs w:val="22"/>
          <w:shd w:val="clear" w:color="auto" w:fill="auto"/>
        </w:rPr>
        <w:t>毕业生地域流向</w:t>
      </w:r>
      <w:bookmarkEnd w:id="33"/>
      <w:bookmarkEnd w:id="34"/>
      <w:bookmarkEnd w:id="35"/>
      <w:bookmarkEnd w:id="36"/>
      <w:bookmarkEnd w:id="37"/>
    </w:p>
    <w:p>
      <w:pPr>
        <w:pStyle w:val="13"/>
        <w:keepNext w:val="0"/>
        <w:keepLines w:val="0"/>
        <w:pageBreakBefore w:val="0"/>
        <w:widowControl w:val="0"/>
        <w:shd w:val="clear"/>
        <w:kinsoku/>
        <w:wordWrap/>
        <w:overflowPunct/>
        <w:topLinePunct w:val="0"/>
        <w:autoSpaceDE/>
        <w:autoSpaceDN/>
        <w:bidi w:val="0"/>
        <w:adjustRightInd/>
        <w:snapToGrid/>
        <w:spacing w:line="560" w:lineRule="exact"/>
        <w:ind w:left="0" w:right="0" w:firstLine="56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kern w:val="2"/>
          <w:sz w:val="28"/>
          <w:szCs w:val="28"/>
          <w:lang w:bidi="ar"/>
        </w:rPr>
        <w:t>我院</w:t>
      </w:r>
      <w:r>
        <w:rPr>
          <w:rFonts w:hint="default" w:ascii="Times New Roman" w:hAnsi="Times New Roman" w:eastAsia="宋体" w:cs="Times New Roman"/>
          <w:kern w:val="2"/>
          <w:sz w:val="28"/>
          <w:szCs w:val="28"/>
          <w:lang w:val="en-US" w:eastAsia="zh-CN" w:bidi="ar"/>
        </w:rPr>
        <w:t>2020</w:t>
      </w:r>
      <w:r>
        <w:rPr>
          <w:rFonts w:hint="default" w:ascii="Times New Roman" w:hAnsi="Times New Roman" w:eastAsia="宋体" w:cs="Times New Roman"/>
          <w:kern w:val="2"/>
          <w:sz w:val="28"/>
          <w:szCs w:val="28"/>
          <w:lang w:bidi="ar"/>
        </w:rPr>
        <w:t>届毕业生地域流向最多的是中原区域经济体，</w:t>
      </w:r>
      <w:r>
        <w:rPr>
          <w:rFonts w:hint="default" w:ascii="Times New Roman" w:hAnsi="Times New Roman" w:eastAsia="宋体" w:cs="Times New Roman"/>
          <w:kern w:val="2"/>
          <w:sz w:val="28"/>
          <w:szCs w:val="28"/>
          <w:lang w:eastAsia="zh-CN" w:bidi="ar"/>
        </w:rPr>
        <w:t>人数为</w:t>
      </w:r>
      <w:r>
        <w:rPr>
          <w:rFonts w:hint="default" w:ascii="Times New Roman" w:hAnsi="Times New Roman" w:eastAsia="宋体" w:cs="Times New Roman"/>
          <w:kern w:val="2"/>
          <w:sz w:val="28"/>
          <w:szCs w:val="28"/>
          <w:lang w:val="en-US" w:eastAsia="zh-CN" w:bidi="ar"/>
        </w:rPr>
        <w:t>180人，</w:t>
      </w:r>
      <w:r>
        <w:rPr>
          <w:rFonts w:hint="default" w:ascii="Times New Roman" w:hAnsi="Times New Roman" w:eastAsia="宋体" w:cs="Times New Roman"/>
          <w:kern w:val="2"/>
          <w:sz w:val="28"/>
          <w:szCs w:val="28"/>
          <w:lang w:bidi="ar"/>
        </w:rPr>
        <w:t>占</w:t>
      </w:r>
      <w:r>
        <w:rPr>
          <w:rFonts w:hint="default" w:ascii="Times New Roman" w:hAnsi="Times New Roman" w:eastAsia="宋体" w:cs="Times New Roman"/>
          <w:kern w:val="2"/>
          <w:sz w:val="28"/>
          <w:szCs w:val="28"/>
          <w:lang w:eastAsia="zh-CN" w:bidi="ar"/>
        </w:rPr>
        <w:t>就业总人数的</w:t>
      </w:r>
      <w:r>
        <w:rPr>
          <w:rFonts w:hint="default" w:ascii="Times New Roman" w:hAnsi="Times New Roman" w:eastAsia="宋体" w:cs="Times New Roman"/>
          <w:kern w:val="2"/>
          <w:sz w:val="28"/>
          <w:szCs w:val="28"/>
          <w:lang w:val="en-US" w:eastAsia="zh-CN" w:bidi="ar"/>
        </w:rPr>
        <w:t>54.22</w:t>
      </w:r>
      <w:r>
        <w:rPr>
          <w:rFonts w:hint="default" w:ascii="Times New Roman" w:hAnsi="Times New Roman" w:eastAsia="宋体" w:cs="Times New Roman"/>
          <w:kern w:val="2"/>
          <w:sz w:val="28"/>
          <w:szCs w:val="28"/>
          <w:lang w:bidi="ar"/>
        </w:rPr>
        <w:t>%；其次是泛珠江三角洲区域经济体，</w:t>
      </w:r>
      <w:r>
        <w:rPr>
          <w:rFonts w:hint="default" w:ascii="Times New Roman" w:hAnsi="Times New Roman" w:eastAsia="宋体" w:cs="Times New Roman"/>
          <w:kern w:val="2"/>
          <w:sz w:val="28"/>
          <w:szCs w:val="28"/>
          <w:lang w:eastAsia="zh-CN" w:bidi="ar"/>
        </w:rPr>
        <w:t>人数为</w:t>
      </w:r>
      <w:r>
        <w:rPr>
          <w:rFonts w:hint="default" w:ascii="Times New Roman" w:hAnsi="Times New Roman" w:eastAsia="宋体" w:cs="Times New Roman"/>
          <w:kern w:val="2"/>
          <w:sz w:val="28"/>
          <w:szCs w:val="28"/>
          <w:lang w:val="en-US" w:eastAsia="zh-CN" w:bidi="ar"/>
        </w:rPr>
        <w:t>65人，</w:t>
      </w:r>
      <w:r>
        <w:rPr>
          <w:rFonts w:hint="default" w:ascii="Times New Roman" w:hAnsi="Times New Roman" w:eastAsia="宋体" w:cs="Times New Roman"/>
          <w:kern w:val="2"/>
          <w:sz w:val="28"/>
          <w:szCs w:val="28"/>
          <w:lang w:bidi="ar"/>
        </w:rPr>
        <w:t>占</w:t>
      </w:r>
      <w:r>
        <w:rPr>
          <w:rFonts w:hint="default" w:ascii="Times New Roman" w:hAnsi="Times New Roman" w:eastAsia="宋体" w:cs="Times New Roman"/>
          <w:kern w:val="2"/>
          <w:sz w:val="28"/>
          <w:szCs w:val="28"/>
          <w:lang w:eastAsia="zh-CN" w:bidi="ar"/>
        </w:rPr>
        <w:t>就业总人数的</w:t>
      </w:r>
      <w:r>
        <w:rPr>
          <w:rFonts w:hint="default" w:ascii="Times New Roman" w:hAnsi="Times New Roman" w:eastAsia="宋体" w:cs="Times New Roman"/>
          <w:kern w:val="2"/>
          <w:sz w:val="28"/>
          <w:szCs w:val="28"/>
          <w:lang w:val="en-US" w:eastAsia="zh-CN" w:bidi="ar"/>
        </w:rPr>
        <w:t>19.58</w:t>
      </w:r>
      <w:r>
        <w:rPr>
          <w:rFonts w:hint="default" w:ascii="Times New Roman" w:hAnsi="Times New Roman" w:eastAsia="宋体" w:cs="Times New Roman"/>
          <w:kern w:val="2"/>
          <w:sz w:val="28"/>
          <w:szCs w:val="28"/>
          <w:lang w:bidi="ar"/>
        </w:rPr>
        <w:t>%</w:t>
      </w:r>
      <w:r>
        <w:rPr>
          <w:rFonts w:hint="default" w:ascii="Times New Roman" w:hAnsi="Times New Roman" w:eastAsia="宋体" w:cs="Times New Roman"/>
          <w:kern w:val="2"/>
          <w:sz w:val="28"/>
          <w:szCs w:val="28"/>
          <w:lang w:eastAsia="zh-CN" w:bidi="ar"/>
        </w:rPr>
        <w:t>，最后依次是</w:t>
      </w:r>
      <w:r>
        <w:rPr>
          <w:rFonts w:hint="default" w:ascii="Times New Roman" w:hAnsi="Times New Roman" w:eastAsia="宋体" w:cs="Times New Roman"/>
          <w:kern w:val="0"/>
          <w:sz w:val="28"/>
          <w:szCs w:val="28"/>
          <w:lang w:bidi="ar"/>
        </w:rPr>
        <w:t>泛长江三角洲区域经济体</w:t>
      </w:r>
      <w:r>
        <w:rPr>
          <w:rFonts w:hint="default" w:ascii="Times New Roman" w:hAnsi="Times New Roman" w:eastAsia="宋体" w:cs="Times New Roman"/>
          <w:kern w:val="0"/>
          <w:sz w:val="28"/>
          <w:szCs w:val="28"/>
          <w:lang w:eastAsia="zh-CN" w:bidi="ar"/>
        </w:rPr>
        <w:t>、</w:t>
      </w:r>
      <w:r>
        <w:rPr>
          <w:rFonts w:hint="default" w:ascii="Times New Roman" w:hAnsi="Times New Roman" w:eastAsia="宋体" w:cs="Times New Roman"/>
          <w:kern w:val="0"/>
          <w:sz w:val="28"/>
          <w:szCs w:val="28"/>
          <w:lang w:bidi="ar"/>
        </w:rPr>
        <w:t>泛渤海湾区域经济体</w:t>
      </w:r>
      <w:r>
        <w:rPr>
          <w:rFonts w:hint="default" w:ascii="Times New Roman" w:hAnsi="Times New Roman" w:eastAsia="宋体" w:cs="Times New Roman"/>
          <w:kern w:val="0"/>
          <w:sz w:val="28"/>
          <w:szCs w:val="28"/>
          <w:lang w:eastAsia="zh-CN" w:bidi="ar"/>
        </w:rPr>
        <w:t>、</w:t>
      </w:r>
      <w:r>
        <w:rPr>
          <w:rFonts w:hint="default" w:ascii="Times New Roman" w:hAnsi="Times New Roman" w:eastAsia="宋体" w:cs="Times New Roman"/>
          <w:kern w:val="0"/>
          <w:sz w:val="28"/>
          <w:szCs w:val="28"/>
          <w:lang w:bidi="ar"/>
        </w:rPr>
        <w:t>西南区域经济体</w:t>
      </w:r>
      <w:r>
        <w:rPr>
          <w:rFonts w:hint="default" w:ascii="Times New Roman" w:hAnsi="Times New Roman" w:eastAsia="宋体" w:cs="Times New Roman"/>
          <w:kern w:val="0"/>
          <w:sz w:val="28"/>
          <w:szCs w:val="28"/>
          <w:lang w:eastAsia="zh-CN" w:bidi="ar"/>
        </w:rPr>
        <w:t>等（表</w:t>
      </w:r>
      <w:r>
        <w:rPr>
          <w:rFonts w:hint="default" w:ascii="Times New Roman" w:hAnsi="Times New Roman" w:eastAsia="宋体" w:cs="Times New Roman"/>
          <w:kern w:val="0"/>
          <w:sz w:val="28"/>
          <w:szCs w:val="28"/>
          <w:lang w:val="en-US" w:eastAsia="zh-CN" w:bidi="ar"/>
        </w:rPr>
        <w:t>5</w:t>
      </w:r>
      <w:r>
        <w:rPr>
          <w:rFonts w:hint="default" w:ascii="Times New Roman" w:hAnsi="Times New Roman" w:eastAsia="宋体" w:cs="Times New Roman"/>
          <w:kern w:val="0"/>
          <w:sz w:val="28"/>
          <w:szCs w:val="28"/>
          <w:lang w:eastAsia="zh-CN" w:bidi="ar"/>
        </w:rPr>
        <w:t>）</w:t>
      </w:r>
      <w:r>
        <w:rPr>
          <w:rFonts w:hint="default" w:ascii="Times New Roman" w:hAnsi="Times New Roman" w:eastAsia="宋体" w:cs="Times New Roman"/>
          <w:kern w:val="2"/>
          <w:sz w:val="28"/>
          <w:szCs w:val="28"/>
          <w:lang w:bidi="ar"/>
        </w:rPr>
        <w:t>。</w:t>
      </w:r>
    </w:p>
    <w:p>
      <w:pPr>
        <w:pStyle w:val="13"/>
        <w:spacing w:line="560" w:lineRule="exact"/>
        <w:ind w:right="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 xml:space="preserve">5  </w:t>
      </w:r>
      <w:r>
        <w:rPr>
          <w:rFonts w:hint="default" w:ascii="Times New Roman" w:hAnsi="Times New Roman" w:eastAsia="宋体" w:cs="Times New Roman"/>
          <w:b/>
          <w:bCs/>
          <w:color w:val="auto"/>
          <w:kern w:val="2"/>
          <w:sz w:val="24"/>
          <w:szCs w:val="24"/>
          <w:lang w:val="en-US" w:eastAsia="zh-CN" w:bidi="ar-SA"/>
        </w:rPr>
        <w:t>信息科学与工程学院20</w:t>
      </w:r>
      <w:r>
        <w:rPr>
          <w:rFonts w:hint="eastAsia" w:ascii="Times New Roman" w:hAnsi="Times New Roman" w:eastAsia="宋体" w:cs="Times New Roman"/>
          <w:b/>
          <w:bCs/>
          <w:color w:val="auto"/>
          <w:kern w:val="2"/>
          <w:sz w:val="24"/>
          <w:szCs w:val="24"/>
          <w:lang w:val="en-US" w:eastAsia="zh-CN" w:bidi="ar-SA"/>
        </w:rPr>
        <w:t>20</w:t>
      </w:r>
      <w:r>
        <w:rPr>
          <w:rFonts w:hint="default" w:ascii="Times New Roman" w:hAnsi="Times New Roman" w:eastAsia="宋体" w:cs="Times New Roman"/>
          <w:b/>
          <w:bCs/>
          <w:color w:val="auto"/>
          <w:kern w:val="2"/>
          <w:sz w:val="24"/>
          <w:szCs w:val="24"/>
          <w:lang w:val="en-US" w:eastAsia="zh-CN" w:bidi="ar-SA"/>
        </w:rPr>
        <w:t>届毕业生就业地域流向</w:t>
      </w:r>
    </w:p>
    <w:tbl>
      <w:tblPr>
        <w:tblStyle w:val="14"/>
        <w:tblW w:w="8888" w:type="dxa"/>
        <w:jc w:val="center"/>
        <w:tblLayout w:type="fixed"/>
        <w:tblCellMar>
          <w:top w:w="0" w:type="dxa"/>
          <w:left w:w="108" w:type="dxa"/>
          <w:bottom w:w="0" w:type="dxa"/>
          <w:right w:w="108" w:type="dxa"/>
        </w:tblCellMar>
      </w:tblPr>
      <w:tblGrid>
        <w:gridCol w:w="1200"/>
        <w:gridCol w:w="3953"/>
        <w:gridCol w:w="1879"/>
        <w:gridCol w:w="1856"/>
      </w:tblGrid>
      <w:tr>
        <w:tblPrEx>
          <w:tblCellMar>
            <w:top w:w="0" w:type="dxa"/>
            <w:left w:w="108" w:type="dxa"/>
            <w:bottom w:w="0" w:type="dxa"/>
            <w:right w:w="108" w:type="dxa"/>
          </w:tblCellMar>
        </w:tblPrEx>
        <w:trPr>
          <w:trHeight w:val="567"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学历层次</w:t>
            </w:r>
          </w:p>
        </w:tc>
        <w:tc>
          <w:tcPr>
            <w:tcW w:w="3953"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地域名称</w:t>
            </w:r>
          </w:p>
        </w:tc>
        <w:tc>
          <w:tcPr>
            <w:tcW w:w="1879" w:type="dxa"/>
            <w:tcBorders>
              <w:top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人数</w:t>
            </w:r>
          </w:p>
        </w:tc>
        <w:tc>
          <w:tcPr>
            <w:tcW w:w="1856" w:type="dxa"/>
            <w:tcBorders>
              <w:top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比率（%）</w:t>
            </w:r>
          </w:p>
        </w:tc>
      </w:tr>
      <w:tr>
        <w:tblPrEx>
          <w:tblCellMar>
            <w:top w:w="0" w:type="dxa"/>
            <w:left w:w="108" w:type="dxa"/>
            <w:bottom w:w="0" w:type="dxa"/>
            <w:right w:w="108" w:type="dxa"/>
          </w:tblCellMar>
        </w:tblPrEx>
        <w:trPr>
          <w:trHeight w:val="567" w:hRule="atLeast"/>
          <w:jc w:val="center"/>
        </w:trPr>
        <w:tc>
          <w:tcPr>
            <w:tcW w:w="1200"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bidi="ar"/>
              </w:rPr>
              <w:t>本</w:t>
            </w:r>
          </w:p>
          <w:p>
            <w:pPr>
              <w:spacing w:line="24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bidi="ar"/>
              </w:rPr>
              <w:t>科</w:t>
            </w:r>
          </w:p>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bidi="ar"/>
              </w:rPr>
              <w:t>生</w:t>
            </w: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中原区域经济体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180</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54.22</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泛珠江三角洲区域经济体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65</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19.58</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bidi="ar"/>
              </w:rPr>
              <w:t>泛长江三角洲区域经济体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18</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5.42</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bidi="ar"/>
              </w:rPr>
              <w:t>泛渤海湾区域经济体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12</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3.61</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西南区域经济体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10</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3.01</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西部生态经济区</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2.71</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rPr>
              <w:t>泛东北区域经济体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5</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1.51</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bidi="ar"/>
              </w:rPr>
              <w:t>陕甘宁青区域经济体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2</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0.60</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其他</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31</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9.34</w:t>
            </w:r>
            <w:r>
              <w:rPr>
                <w:rFonts w:hint="default" w:ascii="Times New Roman" w:hAnsi="Times New Roman" w:eastAsia="宋体" w:cs="Times New Roman"/>
                <w:b/>
                <w:kern w:val="0"/>
                <w:sz w:val="24"/>
                <w:szCs w:val="24"/>
                <w:lang w:bidi="ar"/>
              </w:rPr>
              <w:t>%</w:t>
            </w:r>
          </w:p>
        </w:tc>
      </w:tr>
    </w:tbl>
    <w:p>
      <w:pPr>
        <w:tabs>
          <w:tab w:val="left" w:pos="6451"/>
        </w:tabs>
        <w:jc w:val="left"/>
        <w:rPr>
          <w:rFonts w:hint="default" w:ascii="Times New Roman" w:hAnsi="Times New Roman" w:eastAsia="宋体" w:cs="Times New Roman"/>
        </w:rPr>
      </w:pPr>
      <w:r>
        <w:rPr>
          <w:rFonts w:hint="default" w:ascii="Times New Roman" w:hAnsi="Times New Roman" w:eastAsia="宋体" w:cs="Times New Roman"/>
          <w:spacing w:val="-2"/>
          <w:sz w:val="18"/>
          <w:szCs w:val="18"/>
          <w:lang w:bidi="ar"/>
        </w:rPr>
        <w:t>注：本报告按八大区域经济体划分毕业生地域流向，分别是中原区域经济体（河南、湖北、湖南）、泛珠江三角洲区域经济体（广东、广西、福建、海南）、泛长江三角洲区域经济体（上海、江苏、浙江、江西、安徽）、泛渤海湾区域经济体（北京、天津、山东、河北、内蒙古、山西）、西南区域经济体（重庆、四川、贵州、云南）、西部生态经济区（西藏、新疆）、泛东北区域经济体（黑龙江、吉林、辽</w:t>
      </w:r>
      <w:r>
        <w:rPr>
          <w:rFonts w:hint="eastAsia" w:ascii="Times New Roman" w:hAnsi="Times New Roman" w:eastAsia="宋体" w:cs="Times New Roman"/>
          <w:spacing w:val="-2"/>
          <w:sz w:val="18"/>
          <w:szCs w:val="18"/>
          <w:lang w:eastAsia="zh-CN" w:bidi="ar"/>
        </w:rPr>
        <w:t>宁</w:t>
      </w:r>
      <w:r>
        <w:rPr>
          <w:rFonts w:hint="default" w:ascii="Times New Roman" w:hAnsi="Times New Roman" w:eastAsia="宋体" w:cs="Times New Roman"/>
          <w:spacing w:val="-2"/>
          <w:sz w:val="18"/>
          <w:szCs w:val="18"/>
          <w:lang w:bidi="ar"/>
        </w:rPr>
        <w:t>）、陕甘宁青区域经济体（陕西、甘肃、宁夏、青海）。</w:t>
      </w:r>
    </w:p>
    <w:p>
      <w:pPr>
        <w:pStyle w:val="3"/>
        <w:numPr>
          <w:ilvl w:val="0"/>
          <w:numId w:val="0"/>
        </w:numPr>
        <w:shd w:val="clear"/>
        <w:spacing w:before="0" w:after="0" w:line="360" w:lineRule="auto"/>
        <w:ind w:leftChars="0" w:right="0" w:rightChars="0"/>
        <w:rPr>
          <w:rFonts w:hint="default" w:ascii="Times New Roman" w:hAnsi="Times New Roman" w:eastAsia="宋体" w:cs="Times New Roman"/>
          <w:sz w:val="28"/>
          <w:szCs w:val="28"/>
          <w:shd w:val="clear" w:color="auto" w:fill="auto"/>
        </w:rPr>
      </w:pPr>
      <w:r>
        <w:rPr>
          <w:rFonts w:hint="eastAsia" w:ascii="Times New Roman" w:hAnsi="Times New Roman" w:eastAsia="宋体" w:cs="Times New Roman"/>
          <w:sz w:val="28"/>
          <w:szCs w:val="28"/>
          <w:shd w:val="clear" w:color="auto" w:fill="auto"/>
          <w:lang w:val="en-US" w:eastAsia="zh-CN"/>
        </w:rPr>
        <w:t>6、</w:t>
      </w:r>
      <w:r>
        <w:rPr>
          <w:rFonts w:hint="default" w:ascii="Times New Roman" w:hAnsi="Times New Roman" w:eastAsia="宋体" w:cs="Times New Roman"/>
          <w:sz w:val="28"/>
          <w:szCs w:val="28"/>
          <w:shd w:val="clear" w:color="auto" w:fill="auto"/>
        </w:rPr>
        <w:t>毕业生</w:t>
      </w:r>
      <w:r>
        <w:rPr>
          <w:rFonts w:hint="eastAsia" w:ascii="Times New Roman" w:hAnsi="Times New Roman" w:eastAsia="宋体" w:cs="Times New Roman"/>
          <w:sz w:val="28"/>
          <w:szCs w:val="28"/>
          <w:shd w:val="clear" w:color="auto" w:fill="auto"/>
          <w:lang w:eastAsia="zh-CN"/>
        </w:rPr>
        <w:t>继续深造情况</w:t>
      </w:r>
    </w:p>
    <w:p>
      <w:pPr>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我院</w:t>
      </w:r>
      <w:r>
        <w:rPr>
          <w:rFonts w:hint="default" w:ascii="Times New Roman" w:hAnsi="Times New Roman" w:eastAsia="宋体" w:cs="Times New Roman"/>
          <w:sz w:val="28"/>
          <w:szCs w:val="28"/>
          <w:lang w:val="en-US" w:eastAsia="zh-CN"/>
        </w:rPr>
        <w:t>2020届毕业生继续深造人数共45人，占毕业生总人数的11.81%</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其中国内升学人数为44人，占</w:t>
      </w:r>
      <w:r>
        <w:rPr>
          <w:rFonts w:hint="eastAsia" w:ascii="Times New Roman" w:hAnsi="Times New Roman" w:eastAsia="宋体" w:cs="Times New Roman"/>
          <w:sz w:val="28"/>
          <w:szCs w:val="28"/>
          <w:lang w:val="en-US" w:eastAsia="zh-CN"/>
        </w:rPr>
        <w:t>升学人数的97.78</w:t>
      </w:r>
      <w:r>
        <w:rPr>
          <w:rFonts w:hint="default" w:ascii="Times New Roman" w:hAnsi="Times New Roman" w:eastAsia="宋体" w:cs="Times New Roman"/>
          <w:sz w:val="28"/>
          <w:szCs w:val="28"/>
          <w:lang w:val="en-US" w:eastAsia="zh-CN"/>
        </w:rPr>
        <w:t>%，出国出境深造毕业生人数为1人，占</w:t>
      </w:r>
      <w:r>
        <w:rPr>
          <w:rFonts w:hint="eastAsia" w:ascii="Times New Roman" w:hAnsi="Times New Roman" w:eastAsia="宋体" w:cs="Times New Roman"/>
          <w:sz w:val="28"/>
          <w:szCs w:val="28"/>
          <w:lang w:val="en-US" w:eastAsia="zh-CN"/>
        </w:rPr>
        <w:t>升学人数的2</w:t>
      </w:r>
      <w:r>
        <w:rPr>
          <w:rFonts w:hint="default"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（图4）</w:t>
      </w:r>
      <w:r>
        <w:rPr>
          <w:rFonts w:hint="default" w:ascii="Times New Roman" w:hAnsi="Times New Roman" w:eastAsia="宋体" w:cs="Times New Roman"/>
          <w:sz w:val="28"/>
          <w:szCs w:val="28"/>
          <w:lang w:val="en-US" w:eastAsia="zh-CN"/>
        </w:rPr>
        <w:t>。</w:t>
      </w:r>
    </w:p>
    <w:p>
      <w:pPr>
        <w:tabs>
          <w:tab w:val="left" w:pos="6451"/>
        </w:tabs>
        <w:jc w:val="left"/>
        <w:rPr>
          <w:rFonts w:hint="default" w:ascii="Times New Roman" w:hAnsi="Times New Roman" w:eastAsia="宋体" w:cs="Times New Roman"/>
          <w:spacing w:val="-2"/>
          <w:sz w:val="18"/>
          <w:szCs w:val="18"/>
          <w:lang w:bidi="ar"/>
        </w:rPr>
      </w:pPr>
    </w:p>
    <w:p>
      <w:pPr>
        <w:pStyle w:val="2"/>
        <w:jc w:val="center"/>
        <w:rPr>
          <w:rFonts w:hint="default" w:ascii="Times New Roman" w:hAnsi="Times New Roman" w:eastAsia="宋体" w:cs="Times New Roman"/>
        </w:rPr>
      </w:pPr>
      <w:bookmarkStart w:id="38" w:name="_Toc19895"/>
      <w:bookmarkStart w:id="39" w:name="_Toc9325"/>
      <w:bookmarkStart w:id="40" w:name="_Toc4531"/>
      <w:bookmarkStart w:id="41" w:name="_Toc9520"/>
      <w:r>
        <w:drawing>
          <wp:inline distT="0" distB="0" distL="114300" distR="114300">
            <wp:extent cx="4572000" cy="2743200"/>
            <wp:effectExtent l="4445" t="4445" r="14605" b="7175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2"/>
        <w:numPr>
          <w:ilvl w:val="0"/>
          <w:numId w:val="3"/>
        </w:num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毕业生就业趋势变化</w:t>
      </w:r>
      <w:bookmarkEnd w:id="38"/>
      <w:bookmarkEnd w:id="39"/>
      <w:bookmarkEnd w:id="40"/>
      <w:bookmarkEnd w:id="41"/>
    </w:p>
    <w:p>
      <w:pPr>
        <w:pStyle w:val="4"/>
        <w:numPr>
          <w:ilvl w:val="0"/>
          <w:numId w:val="0"/>
        </w:numPr>
        <w:spacing w:before="0" w:after="0" w:line="360" w:lineRule="auto"/>
        <w:ind w:leftChars="0" w:right="0" w:rightChars="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1、2019届与2020届</w:t>
      </w:r>
      <w:r>
        <w:rPr>
          <w:rFonts w:hint="default" w:ascii="Times New Roman" w:hAnsi="Times New Roman" w:eastAsia="宋体" w:cs="Times New Roman"/>
        </w:rPr>
        <w:t>毕业生各专业就业率</w:t>
      </w:r>
      <w:r>
        <w:rPr>
          <w:rFonts w:hint="eastAsia" w:ascii="Times New Roman" w:hAnsi="Times New Roman" w:eastAsia="宋体" w:cs="Times New Roman"/>
          <w:lang w:eastAsia="zh-CN"/>
        </w:rPr>
        <w:t>对比分析</w:t>
      </w:r>
    </w:p>
    <w:p>
      <w:pPr>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受疫情影响，我院2020届电子信息工程专业、通信工程专业、计算机科学与技术专业的毕业生就业率相比2019届毕业生有所降低；但网络工程专业、电气工程及其自动化专业2020届毕业生较2019届毕业生相比就业率有所提升，就业率较高（表6）。</w:t>
      </w:r>
    </w:p>
    <w:p>
      <w:pPr>
        <w:pStyle w:val="24"/>
        <w:widowControl/>
        <w:spacing w:line="360" w:lineRule="auto"/>
        <w:ind w:left="0" w:right="0"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cs="Times New Roman"/>
          <w:b/>
          <w:bCs/>
          <w:color w:val="auto"/>
          <w:kern w:val="2"/>
          <w:sz w:val="24"/>
          <w:szCs w:val="24"/>
          <w:lang w:val="en-US" w:eastAsia="zh-CN" w:bidi="ar-SA"/>
        </w:rPr>
        <w:t>6</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信息科学与工程学院2019届与2020届</w:t>
      </w:r>
      <w:r>
        <w:rPr>
          <w:rFonts w:hint="default" w:ascii="Times New Roman" w:hAnsi="Times New Roman" w:eastAsia="宋体" w:cs="Times New Roman"/>
          <w:b/>
          <w:bCs/>
          <w:color w:val="auto"/>
          <w:kern w:val="2"/>
          <w:sz w:val="24"/>
          <w:szCs w:val="24"/>
          <w:lang w:val="en-US" w:eastAsia="zh-CN" w:bidi="ar-SA"/>
        </w:rPr>
        <w:t>毕业生各专业就业率</w:t>
      </w:r>
      <w:r>
        <w:rPr>
          <w:rFonts w:hint="eastAsia" w:ascii="Times New Roman" w:hAnsi="Times New Roman" w:eastAsia="宋体" w:cs="Times New Roman"/>
          <w:b/>
          <w:bCs/>
          <w:color w:val="auto"/>
          <w:kern w:val="2"/>
          <w:sz w:val="24"/>
          <w:szCs w:val="24"/>
          <w:lang w:val="en-US" w:eastAsia="zh-CN" w:bidi="ar-SA"/>
        </w:rPr>
        <w:t>对比分析</w:t>
      </w:r>
    </w:p>
    <w:tbl>
      <w:tblPr>
        <w:tblStyle w:val="14"/>
        <w:tblW w:w="9359" w:type="dxa"/>
        <w:jc w:val="center"/>
        <w:shd w:val="clear" w:color="auto" w:fill="FFFFFF" w:themeFill="background1"/>
        <w:tblLayout w:type="autofit"/>
        <w:tblCellMar>
          <w:top w:w="0" w:type="dxa"/>
          <w:left w:w="108" w:type="dxa"/>
          <w:bottom w:w="0" w:type="dxa"/>
          <w:right w:w="108" w:type="dxa"/>
        </w:tblCellMar>
      </w:tblPr>
      <w:tblGrid>
        <w:gridCol w:w="2160"/>
        <w:gridCol w:w="974"/>
        <w:gridCol w:w="1066"/>
        <w:gridCol w:w="1245"/>
        <w:gridCol w:w="1035"/>
        <w:gridCol w:w="960"/>
        <w:gridCol w:w="1080"/>
        <w:gridCol w:w="839"/>
      </w:tblGrid>
      <w:tr>
        <w:tblPrEx>
          <w:shd w:val="clear" w:color="auto" w:fill="FFFFFF" w:themeFill="background1"/>
          <w:tblCellMar>
            <w:top w:w="0" w:type="dxa"/>
            <w:left w:w="108" w:type="dxa"/>
            <w:bottom w:w="0" w:type="dxa"/>
            <w:right w:w="108" w:type="dxa"/>
          </w:tblCellMar>
        </w:tblPrEx>
        <w:trPr>
          <w:trHeight w:val="485" w:hRule="atLeast"/>
          <w:jc w:val="center"/>
        </w:trPr>
        <w:tc>
          <w:tcPr>
            <w:tcW w:w="2160"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专业名称</w:t>
            </w:r>
          </w:p>
        </w:tc>
        <w:tc>
          <w:tcPr>
            <w:tcW w:w="3285" w:type="dxa"/>
            <w:gridSpan w:val="3"/>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2019届</w:t>
            </w:r>
          </w:p>
        </w:tc>
        <w:tc>
          <w:tcPr>
            <w:tcW w:w="3075" w:type="dxa"/>
            <w:gridSpan w:val="3"/>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2020届</w:t>
            </w:r>
          </w:p>
        </w:tc>
        <w:tc>
          <w:tcPr>
            <w:tcW w:w="839"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widowControl/>
              <w:spacing w:line="240" w:lineRule="auto"/>
              <w:jc w:val="center"/>
              <w:rPr>
                <w:rFonts w:hint="eastAsia"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趋势</w:t>
            </w:r>
          </w:p>
          <w:p>
            <w:pPr>
              <w:widowControl/>
              <w:spacing w:line="240" w:lineRule="auto"/>
              <w:jc w:val="center"/>
              <w:rPr>
                <w:rFonts w:hint="eastAsia"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变化</w:t>
            </w:r>
          </w:p>
        </w:tc>
      </w:tr>
      <w:tr>
        <w:tblPrEx>
          <w:tblCellMar>
            <w:top w:w="0" w:type="dxa"/>
            <w:left w:w="108" w:type="dxa"/>
            <w:bottom w:w="0" w:type="dxa"/>
            <w:right w:w="108" w:type="dxa"/>
          </w:tblCellMar>
        </w:tblPrEx>
        <w:trPr>
          <w:trHeight w:val="488" w:hRule="atLeast"/>
          <w:jc w:val="center"/>
        </w:trPr>
        <w:tc>
          <w:tcPr>
            <w:tcW w:w="2160" w:type="dxa"/>
            <w:vMerge w:val="continue"/>
            <w:tcBorders>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p>
        </w:tc>
        <w:tc>
          <w:tcPr>
            <w:tcW w:w="974"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总人数</w:t>
            </w:r>
          </w:p>
        </w:tc>
        <w:tc>
          <w:tcPr>
            <w:tcW w:w="1066"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lang w:bidi="ar"/>
              </w:rPr>
            </w:pPr>
            <w:r>
              <w:rPr>
                <w:rFonts w:hint="default" w:ascii="Times New Roman" w:hAnsi="Times New Roman" w:eastAsia="宋体" w:cs="Times New Roman"/>
                <w:b/>
                <w:kern w:val="0"/>
                <w:sz w:val="24"/>
                <w:szCs w:val="24"/>
                <w:lang w:bidi="ar"/>
              </w:rPr>
              <w:t>就业</w:t>
            </w:r>
          </w:p>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人数</w:t>
            </w:r>
          </w:p>
        </w:tc>
        <w:tc>
          <w:tcPr>
            <w:tcW w:w="124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bidi="ar"/>
              </w:rPr>
              <w:t>就业率</w:t>
            </w:r>
            <w:r>
              <w:rPr>
                <w:rFonts w:hint="default" w:ascii="Times New Roman" w:hAnsi="Times New Roman" w:eastAsia="宋体" w:cs="Times New Roman"/>
                <w:b/>
                <w:kern w:val="0"/>
                <w:sz w:val="24"/>
                <w:szCs w:val="24"/>
                <w:lang w:bidi="ar"/>
              </w:rPr>
              <w:t>(%)</w:t>
            </w:r>
          </w:p>
        </w:tc>
        <w:tc>
          <w:tcPr>
            <w:tcW w:w="103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eastAsia"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szCs w:val="24"/>
                <w:lang w:bidi="ar"/>
              </w:rPr>
              <w:t>总人数</w:t>
            </w:r>
          </w:p>
        </w:tc>
        <w:tc>
          <w:tcPr>
            <w:tcW w:w="96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default" w:ascii="Times New Roman" w:hAnsi="Times New Roman" w:eastAsia="宋体" w:cs="Times New Roman"/>
                <w:b/>
                <w:kern w:val="0"/>
                <w:sz w:val="24"/>
                <w:szCs w:val="24"/>
                <w:lang w:bidi="ar"/>
              </w:rPr>
            </w:pPr>
            <w:r>
              <w:rPr>
                <w:rFonts w:hint="default" w:ascii="Times New Roman" w:hAnsi="Times New Roman" w:eastAsia="宋体" w:cs="Times New Roman"/>
                <w:b/>
                <w:kern w:val="0"/>
                <w:sz w:val="24"/>
                <w:szCs w:val="24"/>
                <w:lang w:bidi="ar"/>
              </w:rPr>
              <w:t>就业</w:t>
            </w:r>
          </w:p>
          <w:p>
            <w:pPr>
              <w:widowControl/>
              <w:spacing w:line="240" w:lineRule="auto"/>
              <w:ind w:left="0" w:leftChars="0" w:right="0" w:rightChars="0" w:firstLine="0" w:firstLineChars="0"/>
              <w:jc w:val="center"/>
              <w:rPr>
                <w:rFonts w:hint="eastAsia"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szCs w:val="24"/>
                <w:lang w:bidi="ar"/>
              </w:rPr>
              <w:t>人数</w:t>
            </w:r>
          </w:p>
        </w:tc>
        <w:tc>
          <w:tcPr>
            <w:tcW w:w="108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eastAsia" w:ascii="Times New Roman" w:hAnsi="Times New Roman" w:eastAsia="宋体" w:cs="Times New Roman"/>
                <w:b/>
                <w:color w:val="auto"/>
                <w:kern w:val="0"/>
                <w:sz w:val="24"/>
                <w:szCs w:val="24"/>
                <w:lang w:val="en-US" w:eastAsia="zh-CN" w:bidi="ar-SA"/>
              </w:rPr>
            </w:pPr>
            <w:r>
              <w:rPr>
                <w:rFonts w:hint="eastAsia" w:ascii="Times New Roman" w:hAnsi="Times New Roman" w:eastAsia="宋体" w:cs="Times New Roman"/>
                <w:b/>
                <w:kern w:val="0"/>
                <w:sz w:val="24"/>
                <w:szCs w:val="24"/>
                <w:lang w:eastAsia="zh-CN" w:bidi="ar"/>
              </w:rPr>
              <w:t>就业率</w:t>
            </w:r>
            <w:r>
              <w:rPr>
                <w:rFonts w:hint="default" w:ascii="Times New Roman" w:hAnsi="Times New Roman" w:eastAsia="宋体" w:cs="Times New Roman"/>
                <w:b/>
                <w:kern w:val="0"/>
                <w:sz w:val="24"/>
                <w:szCs w:val="24"/>
                <w:lang w:bidi="ar"/>
              </w:rPr>
              <w:t>(%)</w:t>
            </w:r>
          </w:p>
        </w:tc>
        <w:tc>
          <w:tcPr>
            <w:tcW w:w="839" w:type="dxa"/>
            <w:vMerge w:val="continue"/>
            <w:tcBorders>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eastAsia" w:ascii="Times New Roman" w:hAnsi="Times New Roman" w:eastAsia="宋体" w:cs="Times New Roman"/>
                <w:b/>
                <w:kern w:val="0"/>
                <w:sz w:val="24"/>
                <w:szCs w:val="24"/>
                <w:lang w:eastAsia="zh-CN" w:bidi="ar"/>
              </w:rPr>
            </w:pPr>
          </w:p>
        </w:tc>
      </w:tr>
      <w:tr>
        <w:tblPrEx>
          <w:tblCellMar>
            <w:top w:w="0" w:type="dxa"/>
            <w:left w:w="108" w:type="dxa"/>
            <w:bottom w:w="0" w:type="dxa"/>
            <w:right w:w="108" w:type="dxa"/>
          </w:tblCellMar>
        </w:tblPrEx>
        <w:trPr>
          <w:trHeight w:val="590" w:hRule="atLeast"/>
          <w:jc w:val="center"/>
        </w:trPr>
        <w:tc>
          <w:tcPr>
            <w:tcW w:w="21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电子信息工程</w:t>
            </w:r>
          </w:p>
        </w:tc>
        <w:tc>
          <w:tcPr>
            <w:tcW w:w="97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58</w:t>
            </w:r>
          </w:p>
        </w:tc>
        <w:tc>
          <w:tcPr>
            <w:tcW w:w="106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48</w:t>
            </w:r>
          </w:p>
        </w:tc>
        <w:tc>
          <w:tcPr>
            <w:tcW w:w="124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82.76%</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69</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76.81</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下降</w:t>
            </w:r>
          </w:p>
        </w:tc>
      </w:tr>
      <w:tr>
        <w:tblPrEx>
          <w:tblCellMar>
            <w:top w:w="0" w:type="dxa"/>
            <w:left w:w="108" w:type="dxa"/>
            <w:bottom w:w="0" w:type="dxa"/>
            <w:right w:w="108" w:type="dxa"/>
          </w:tblCellMar>
        </w:tblPrEx>
        <w:trPr>
          <w:trHeight w:val="590" w:hRule="atLeast"/>
          <w:jc w:val="center"/>
        </w:trPr>
        <w:tc>
          <w:tcPr>
            <w:tcW w:w="21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网络工程</w:t>
            </w:r>
          </w:p>
        </w:tc>
        <w:tc>
          <w:tcPr>
            <w:tcW w:w="97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60</w:t>
            </w:r>
          </w:p>
        </w:tc>
        <w:tc>
          <w:tcPr>
            <w:tcW w:w="106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51</w:t>
            </w:r>
          </w:p>
        </w:tc>
        <w:tc>
          <w:tcPr>
            <w:tcW w:w="124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85.00%</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63</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58</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92.06</w:t>
            </w:r>
            <w:r>
              <w:rPr>
                <w:rFonts w:hint="default" w:ascii="Times New Roman" w:hAnsi="Times New Roman" w:eastAsia="宋体" w:cs="Times New Roman"/>
                <w:color w:val="auto"/>
                <w:kern w:val="2"/>
                <w:sz w:val="24"/>
                <w:szCs w:val="24"/>
                <w:lang w:val="en-US" w:eastAsia="zh-CN" w:bidi="ar-SA"/>
              </w:rPr>
              <w:t>%</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上升</w:t>
            </w:r>
          </w:p>
        </w:tc>
      </w:tr>
      <w:tr>
        <w:tblPrEx>
          <w:tblCellMar>
            <w:top w:w="0" w:type="dxa"/>
            <w:left w:w="108" w:type="dxa"/>
            <w:bottom w:w="0" w:type="dxa"/>
            <w:right w:w="108" w:type="dxa"/>
          </w:tblCellMar>
        </w:tblPrEx>
        <w:trPr>
          <w:trHeight w:val="590" w:hRule="atLeast"/>
          <w:jc w:val="center"/>
        </w:trPr>
        <w:tc>
          <w:tcPr>
            <w:tcW w:w="21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通信工程</w:t>
            </w:r>
          </w:p>
        </w:tc>
        <w:tc>
          <w:tcPr>
            <w:tcW w:w="97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74</w:t>
            </w:r>
          </w:p>
        </w:tc>
        <w:tc>
          <w:tcPr>
            <w:tcW w:w="106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69</w:t>
            </w:r>
          </w:p>
        </w:tc>
        <w:tc>
          <w:tcPr>
            <w:tcW w:w="124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93.24%</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73</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67</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91.78</w:t>
            </w:r>
            <w:r>
              <w:rPr>
                <w:rFonts w:hint="default" w:ascii="Times New Roman" w:hAnsi="Times New Roman" w:eastAsia="宋体" w:cs="Times New Roman"/>
                <w:color w:val="auto"/>
                <w:kern w:val="2"/>
                <w:sz w:val="24"/>
                <w:szCs w:val="24"/>
                <w:lang w:val="en-US" w:eastAsia="zh-CN" w:bidi="ar-SA"/>
              </w:rPr>
              <w:t>%</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下降</w:t>
            </w:r>
          </w:p>
        </w:tc>
      </w:tr>
      <w:tr>
        <w:tblPrEx>
          <w:tblCellMar>
            <w:top w:w="0" w:type="dxa"/>
            <w:left w:w="108" w:type="dxa"/>
            <w:bottom w:w="0" w:type="dxa"/>
            <w:right w:w="108" w:type="dxa"/>
          </w:tblCellMar>
        </w:tblPrEx>
        <w:trPr>
          <w:trHeight w:val="590" w:hRule="atLeast"/>
          <w:jc w:val="center"/>
        </w:trPr>
        <w:tc>
          <w:tcPr>
            <w:tcW w:w="21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计算机科学与技术</w:t>
            </w:r>
          </w:p>
        </w:tc>
        <w:tc>
          <w:tcPr>
            <w:tcW w:w="97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68</w:t>
            </w:r>
          </w:p>
        </w:tc>
        <w:tc>
          <w:tcPr>
            <w:tcW w:w="106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63</w:t>
            </w:r>
          </w:p>
        </w:tc>
        <w:tc>
          <w:tcPr>
            <w:tcW w:w="124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92.65%</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78</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78.21</w:t>
            </w:r>
            <w:r>
              <w:rPr>
                <w:rFonts w:hint="default" w:ascii="Times New Roman" w:hAnsi="Times New Roman" w:eastAsia="宋体" w:cs="Times New Roman"/>
                <w:color w:val="auto"/>
                <w:kern w:val="2"/>
                <w:sz w:val="24"/>
                <w:szCs w:val="24"/>
                <w:lang w:val="en-US" w:eastAsia="zh-CN" w:bidi="ar-SA"/>
              </w:rPr>
              <w:t>%</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下降</w:t>
            </w:r>
          </w:p>
        </w:tc>
      </w:tr>
      <w:tr>
        <w:tblPrEx>
          <w:tblCellMar>
            <w:top w:w="0" w:type="dxa"/>
            <w:left w:w="108" w:type="dxa"/>
            <w:bottom w:w="0" w:type="dxa"/>
            <w:right w:w="108" w:type="dxa"/>
          </w:tblCellMar>
        </w:tblPrEx>
        <w:trPr>
          <w:trHeight w:val="590" w:hRule="atLeast"/>
          <w:jc w:val="center"/>
        </w:trPr>
        <w:tc>
          <w:tcPr>
            <w:tcW w:w="21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电气工程及其自动化</w:t>
            </w:r>
          </w:p>
        </w:tc>
        <w:tc>
          <w:tcPr>
            <w:tcW w:w="97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99</w:t>
            </w:r>
          </w:p>
        </w:tc>
        <w:tc>
          <w:tcPr>
            <w:tcW w:w="106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93</w:t>
            </w:r>
          </w:p>
        </w:tc>
        <w:tc>
          <w:tcPr>
            <w:tcW w:w="124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93.94%</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98</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93</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94.90</w:t>
            </w:r>
            <w:r>
              <w:rPr>
                <w:rFonts w:hint="default" w:ascii="Times New Roman" w:hAnsi="Times New Roman" w:eastAsia="宋体" w:cs="Times New Roman"/>
                <w:color w:val="auto"/>
                <w:kern w:val="2"/>
                <w:sz w:val="24"/>
                <w:szCs w:val="24"/>
                <w:lang w:val="en-US" w:eastAsia="zh-CN" w:bidi="ar-SA"/>
              </w:rPr>
              <w:t>%</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上升</w:t>
            </w:r>
          </w:p>
        </w:tc>
      </w:tr>
    </w:tbl>
    <w:p>
      <w:pPr>
        <w:pStyle w:val="4"/>
        <w:spacing w:before="0" w:after="0" w:line="360" w:lineRule="auto"/>
        <w:rPr>
          <w:rFonts w:hint="eastAsia" w:ascii="Times New Roman" w:hAnsi="Times New Roman" w:eastAsia="宋体" w:cs="Times New Roman"/>
          <w:color w:val="FF0000"/>
          <w:szCs w:val="28"/>
          <w:lang w:eastAsia="zh-CN"/>
        </w:rPr>
      </w:pPr>
      <w:r>
        <w:rPr>
          <w:rFonts w:hint="eastAsia" w:ascii="Times New Roman" w:hAnsi="Times New Roman" w:eastAsia="宋体" w:cs="Times New Roman"/>
          <w:lang w:val="en-US" w:eastAsia="zh-CN"/>
        </w:rPr>
        <w:t>2、2019届与2020届</w:t>
      </w:r>
      <w:r>
        <w:rPr>
          <w:rFonts w:hint="eastAsia" w:ascii="Times New Roman" w:hAnsi="Times New Roman" w:eastAsia="宋体" w:cs="Times New Roman"/>
          <w:szCs w:val="22"/>
          <w:lang w:eastAsia="zh-CN"/>
        </w:rPr>
        <w:t>毕业生就业单位性质对比分析</w:t>
      </w:r>
    </w:p>
    <w:p>
      <w:pPr>
        <w:ind w:left="0" w:right="0" w:firstLine="64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我院20</w:t>
      </w:r>
      <w:r>
        <w:rPr>
          <w:rFonts w:hint="eastAsia"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rPr>
        <w:t>届毕业生就业单位性质</w:t>
      </w:r>
      <w:r>
        <w:rPr>
          <w:rFonts w:hint="eastAsia" w:ascii="Times New Roman" w:hAnsi="Times New Roman" w:eastAsia="宋体" w:cs="Times New Roman"/>
          <w:sz w:val="28"/>
          <w:szCs w:val="28"/>
          <w:lang w:eastAsia="zh-CN"/>
        </w:rPr>
        <w:t>对比</w:t>
      </w:r>
      <w:r>
        <w:rPr>
          <w:rFonts w:hint="eastAsia" w:ascii="Times New Roman" w:hAnsi="Times New Roman" w:eastAsia="宋体" w:cs="Times New Roman"/>
          <w:sz w:val="28"/>
          <w:szCs w:val="28"/>
          <w:lang w:val="en-US" w:eastAsia="zh-CN"/>
        </w:rPr>
        <w:t>2019届增加的有</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继续深造与出国、其它教学单位、医疗卫生、自由职业、自主创业等，其中继续深造与出国相比</w:t>
      </w:r>
      <w:r>
        <w:rPr>
          <w:rFonts w:hint="eastAsia" w:ascii="Times New Roman" w:hAnsi="Times New Roman" w:eastAsia="宋体" w:cs="Times New Roman"/>
          <w:sz w:val="28"/>
          <w:szCs w:val="28"/>
          <w:lang w:val="en-US" w:eastAsia="zh-CN"/>
        </w:rPr>
        <w:t>2019届毕业生增长了2.75%，升学率连续五年增长</w:t>
      </w:r>
      <w:r>
        <w:rPr>
          <w:rFonts w:hint="eastAsia" w:ascii="Times New Roman" w:hAnsi="Times New Roman" w:eastAsia="宋体" w:cs="Times New Roman"/>
          <w:sz w:val="28"/>
          <w:szCs w:val="28"/>
          <w:lang w:eastAsia="zh-CN"/>
        </w:rPr>
        <w:t>（表</w:t>
      </w:r>
      <w:r>
        <w:rPr>
          <w:rFonts w:hint="eastAsia" w:ascii="Times New Roman" w:hAnsi="Times New Roman" w:eastAsia="宋体" w:cs="Times New Roman"/>
          <w:sz w:val="28"/>
          <w:szCs w:val="28"/>
          <w:lang w:val="en-US" w:eastAsia="zh-CN"/>
        </w:rPr>
        <w:t>7</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ind w:right="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 xml:space="preserve">7  </w:t>
      </w:r>
      <w:r>
        <w:rPr>
          <w:rFonts w:hint="default" w:ascii="Times New Roman" w:hAnsi="Times New Roman" w:eastAsia="宋体" w:cs="Times New Roman"/>
          <w:b/>
          <w:bCs/>
          <w:color w:val="auto"/>
          <w:kern w:val="2"/>
          <w:sz w:val="24"/>
          <w:szCs w:val="24"/>
          <w:lang w:val="en-US" w:eastAsia="zh-CN" w:bidi="ar-SA"/>
        </w:rPr>
        <w:t>信息科学与工程学院</w:t>
      </w:r>
      <w:r>
        <w:rPr>
          <w:rFonts w:hint="eastAsia" w:ascii="Times New Roman" w:hAnsi="Times New Roman" w:eastAsia="宋体" w:cs="Times New Roman"/>
          <w:b/>
          <w:bCs/>
          <w:color w:val="auto"/>
          <w:kern w:val="2"/>
          <w:sz w:val="24"/>
          <w:szCs w:val="24"/>
          <w:lang w:val="en-US" w:eastAsia="zh-CN" w:bidi="ar-SA"/>
        </w:rPr>
        <w:t>2019届与2020届毕业生就业单位性质对比分析</w:t>
      </w:r>
    </w:p>
    <w:tbl>
      <w:tblPr>
        <w:tblStyle w:val="14"/>
        <w:tblW w:w="8733" w:type="dxa"/>
        <w:jc w:val="center"/>
        <w:tblLayout w:type="fixed"/>
        <w:tblCellMar>
          <w:top w:w="0" w:type="dxa"/>
          <w:left w:w="108" w:type="dxa"/>
          <w:bottom w:w="0" w:type="dxa"/>
          <w:right w:w="108" w:type="dxa"/>
        </w:tblCellMar>
      </w:tblPr>
      <w:tblGrid>
        <w:gridCol w:w="2139"/>
        <w:gridCol w:w="1101"/>
        <w:gridCol w:w="1620"/>
        <w:gridCol w:w="1233"/>
        <w:gridCol w:w="1560"/>
        <w:gridCol w:w="1080"/>
      </w:tblGrid>
      <w:tr>
        <w:tblPrEx>
          <w:tblCellMar>
            <w:top w:w="0" w:type="dxa"/>
            <w:left w:w="108" w:type="dxa"/>
            <w:bottom w:w="0" w:type="dxa"/>
            <w:right w:w="108" w:type="dxa"/>
          </w:tblCellMar>
        </w:tblPrEx>
        <w:trPr>
          <w:trHeight w:val="567" w:hRule="exact"/>
          <w:jc w:val="center"/>
        </w:trPr>
        <w:tc>
          <w:tcPr>
            <w:tcW w:w="2139"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单位性质</w:t>
            </w:r>
          </w:p>
        </w:tc>
        <w:tc>
          <w:tcPr>
            <w:tcW w:w="2721"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2019届</w:t>
            </w:r>
          </w:p>
        </w:tc>
        <w:tc>
          <w:tcPr>
            <w:tcW w:w="2793"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2020届</w:t>
            </w:r>
          </w:p>
        </w:tc>
        <w:tc>
          <w:tcPr>
            <w:tcW w:w="1080"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趋势</w:t>
            </w:r>
          </w:p>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变化</w:t>
            </w:r>
          </w:p>
        </w:tc>
      </w:tr>
      <w:tr>
        <w:tblPrEx>
          <w:tblCellMar>
            <w:top w:w="0" w:type="dxa"/>
            <w:left w:w="108" w:type="dxa"/>
            <w:bottom w:w="0" w:type="dxa"/>
            <w:right w:w="108" w:type="dxa"/>
          </w:tblCellMar>
        </w:tblPrEx>
        <w:trPr>
          <w:trHeight w:val="567" w:hRule="exact"/>
          <w:jc w:val="center"/>
        </w:trPr>
        <w:tc>
          <w:tcPr>
            <w:tcW w:w="2139"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p>
        </w:tc>
        <w:tc>
          <w:tcPr>
            <w:tcW w:w="110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62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23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6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080"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bidi="ar"/>
              </w:rPr>
            </w:pP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bidi="ar"/>
              </w:rPr>
              <w:t>企业单位</w:t>
            </w:r>
          </w:p>
        </w:tc>
        <w:tc>
          <w:tcPr>
            <w:tcW w:w="11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273</w:t>
            </w:r>
          </w:p>
        </w:tc>
        <w:tc>
          <w:tcPr>
            <w:tcW w:w="16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84.26</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256</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77.11</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继续深造与出国</w:t>
            </w:r>
          </w:p>
        </w:tc>
        <w:tc>
          <w:tcPr>
            <w:tcW w:w="11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35</w:t>
            </w:r>
          </w:p>
        </w:tc>
        <w:tc>
          <w:tcPr>
            <w:tcW w:w="16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10.80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45</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13.55</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rPr>
              <w:t>其它教学单位</w:t>
            </w:r>
          </w:p>
        </w:tc>
        <w:tc>
          <w:tcPr>
            <w:tcW w:w="11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0.93</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4.52</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bidi="ar"/>
              </w:rPr>
              <w:t>机关单位</w:t>
            </w:r>
          </w:p>
        </w:tc>
        <w:tc>
          <w:tcPr>
            <w:tcW w:w="11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8</w:t>
            </w:r>
          </w:p>
        </w:tc>
        <w:tc>
          <w:tcPr>
            <w:tcW w:w="16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2.47</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8</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2.41</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rPr>
              <w:t>其他事业单位</w:t>
            </w:r>
          </w:p>
        </w:tc>
        <w:tc>
          <w:tcPr>
            <w:tcW w:w="11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1.54</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4</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1.20</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rPr>
              <w:t>医疗卫生</w:t>
            </w:r>
          </w:p>
        </w:tc>
        <w:tc>
          <w:tcPr>
            <w:tcW w:w="11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w:t>
            </w:r>
          </w:p>
        </w:tc>
        <w:tc>
          <w:tcPr>
            <w:tcW w:w="16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0.00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0.30</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自由职业</w:t>
            </w:r>
          </w:p>
        </w:tc>
        <w:tc>
          <w:tcPr>
            <w:tcW w:w="11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w:t>
            </w:r>
          </w:p>
        </w:tc>
        <w:tc>
          <w:tcPr>
            <w:tcW w:w="16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0.00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0.30</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自主创业</w:t>
            </w:r>
          </w:p>
        </w:tc>
        <w:tc>
          <w:tcPr>
            <w:tcW w:w="11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w:t>
            </w:r>
          </w:p>
        </w:tc>
        <w:tc>
          <w:tcPr>
            <w:tcW w:w="16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0.00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0.60</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bl>
    <w:p>
      <w:pPr>
        <w:pStyle w:val="13"/>
        <w:spacing w:line="360" w:lineRule="auto"/>
        <w:jc w:val="both"/>
        <w:rPr>
          <w:rFonts w:hint="default" w:ascii="Times New Roman" w:hAnsi="Times New Roman" w:eastAsia="宋体" w:cs="Times New Roman"/>
          <w:kern w:val="2"/>
          <w:sz w:val="28"/>
          <w:szCs w:val="28"/>
        </w:rPr>
      </w:pPr>
      <w:r>
        <w:rPr>
          <w:rFonts w:hint="default" w:ascii="Times New Roman" w:hAnsi="Times New Roman" w:eastAsia="宋体" w:cs="Times New Roman"/>
          <w:color w:val="000000"/>
          <w:kern w:val="2"/>
          <w:sz w:val="21"/>
          <w:szCs w:val="22"/>
          <w:lang w:bidi="ar"/>
        </w:rPr>
        <w:t xml:space="preserve">    注：本报告将毕业生就业单位性质分为机关单位</w:t>
      </w:r>
      <w:r>
        <w:rPr>
          <w:rFonts w:hint="eastAsia" w:ascii="Times New Roman" w:hAnsi="Times New Roman" w:eastAsia="宋体" w:cs="Times New Roman"/>
          <w:color w:val="000000"/>
          <w:kern w:val="2"/>
          <w:sz w:val="21"/>
          <w:szCs w:val="22"/>
          <w:lang w:eastAsia="zh-CN" w:bidi="ar"/>
        </w:rPr>
        <w:t>（包括部队和地方基层项目）</w:t>
      </w:r>
      <w:r>
        <w:rPr>
          <w:rFonts w:hint="default" w:ascii="Times New Roman" w:hAnsi="Times New Roman" w:eastAsia="宋体" w:cs="Times New Roman"/>
          <w:color w:val="000000"/>
          <w:kern w:val="2"/>
          <w:sz w:val="21"/>
          <w:szCs w:val="22"/>
          <w:lang w:bidi="ar"/>
        </w:rPr>
        <w:t>、其他事业单位、企业单位</w:t>
      </w:r>
      <w:r>
        <w:rPr>
          <w:rFonts w:hint="eastAsia" w:ascii="Times New Roman" w:hAnsi="Times New Roman" w:eastAsia="宋体" w:cs="Times New Roman"/>
          <w:color w:val="000000"/>
          <w:kern w:val="2"/>
          <w:sz w:val="21"/>
          <w:szCs w:val="22"/>
          <w:lang w:eastAsia="zh-CN" w:bidi="ar"/>
        </w:rPr>
        <w:t>（包括国有企业、三资企业以及其他企业）</w:t>
      </w:r>
      <w:r>
        <w:rPr>
          <w:rFonts w:hint="default" w:ascii="Times New Roman" w:hAnsi="Times New Roman" w:eastAsia="宋体" w:cs="Times New Roman"/>
          <w:color w:val="000000"/>
          <w:kern w:val="2"/>
          <w:sz w:val="21"/>
          <w:szCs w:val="22"/>
          <w:lang w:bidi="ar"/>
        </w:rPr>
        <w:t>、医疗卫生、自主创业以及继续深造与出国等几种类型。</w:t>
      </w:r>
    </w:p>
    <w:p>
      <w:pPr>
        <w:pStyle w:val="4"/>
        <w:numPr>
          <w:ilvl w:val="0"/>
          <w:numId w:val="0"/>
        </w:numPr>
        <w:spacing w:before="0" w:after="0" w:line="360" w:lineRule="auto"/>
        <w:ind w:leftChars="0" w:right="0" w:rightChars="0"/>
        <w:rPr>
          <w:rFonts w:hint="eastAsia" w:ascii="Times New Roman" w:hAnsi="Times New Roman" w:eastAsia="宋体" w:cs="Times New Roman"/>
          <w:szCs w:val="22"/>
          <w:lang w:eastAsia="zh-CN"/>
        </w:rPr>
      </w:pPr>
      <w:bookmarkStart w:id="42" w:name="_Toc20727"/>
      <w:bookmarkStart w:id="43" w:name="_Toc14300"/>
      <w:bookmarkStart w:id="44" w:name="_Toc31430"/>
      <w:bookmarkStart w:id="45" w:name="_Toc5666"/>
      <w:r>
        <w:rPr>
          <w:rFonts w:hint="eastAsia" w:ascii="Times New Roman" w:hAnsi="Times New Roman" w:eastAsia="宋体" w:cs="Times New Roman"/>
          <w:lang w:val="en-US" w:eastAsia="zh-CN"/>
        </w:rPr>
        <w:t>3、2019届与2020届</w:t>
      </w:r>
      <w:r>
        <w:rPr>
          <w:rFonts w:hint="eastAsia" w:ascii="Times New Roman" w:hAnsi="Times New Roman" w:eastAsia="宋体" w:cs="Times New Roman"/>
          <w:szCs w:val="22"/>
          <w:lang w:eastAsia="zh-CN"/>
        </w:rPr>
        <w:t>毕业生就业单位行业对比分析</w:t>
      </w:r>
    </w:p>
    <w:p>
      <w:pPr>
        <w:spacing w:line="360" w:lineRule="auto"/>
        <w:ind w:left="0" w:right="0" w:firstLine="64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通过对我院2020届与2019届毕业生就业单位行业对比发现，当前随着考研学生以及考公务员学生的增长，在高等院校/科研机构、制造业、政府机关/公共服务、金融业上，2020届较2019届毕业生有所上升（表8）。</w:t>
      </w:r>
    </w:p>
    <w:p>
      <w:pPr>
        <w:spacing w:line="360" w:lineRule="auto"/>
        <w:ind w:right="0"/>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表8  信息科学与工程学院2019届与2020届毕业生就业单位行业对比分析</w:t>
      </w:r>
    </w:p>
    <w:tbl>
      <w:tblPr>
        <w:tblStyle w:val="14"/>
        <w:tblW w:w="8733" w:type="dxa"/>
        <w:jc w:val="center"/>
        <w:tblLayout w:type="fixed"/>
        <w:tblCellMar>
          <w:top w:w="0" w:type="dxa"/>
          <w:left w:w="108" w:type="dxa"/>
          <w:bottom w:w="0" w:type="dxa"/>
          <w:right w:w="108" w:type="dxa"/>
        </w:tblCellMar>
      </w:tblPr>
      <w:tblGrid>
        <w:gridCol w:w="2139"/>
        <w:gridCol w:w="1101"/>
        <w:gridCol w:w="1620"/>
        <w:gridCol w:w="1233"/>
        <w:gridCol w:w="1560"/>
        <w:gridCol w:w="1080"/>
      </w:tblGrid>
      <w:tr>
        <w:tblPrEx>
          <w:tblCellMar>
            <w:top w:w="0" w:type="dxa"/>
            <w:left w:w="108" w:type="dxa"/>
            <w:bottom w:w="0" w:type="dxa"/>
            <w:right w:w="108" w:type="dxa"/>
          </w:tblCellMar>
        </w:tblPrEx>
        <w:trPr>
          <w:trHeight w:val="567" w:hRule="exact"/>
          <w:jc w:val="center"/>
        </w:trPr>
        <w:tc>
          <w:tcPr>
            <w:tcW w:w="2139"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单位</w:t>
            </w:r>
            <w:r>
              <w:rPr>
                <w:rFonts w:hint="eastAsia" w:ascii="Times New Roman" w:hAnsi="Times New Roman" w:eastAsia="宋体" w:cs="Times New Roman"/>
                <w:b/>
                <w:kern w:val="0"/>
                <w:sz w:val="24"/>
                <w:lang w:eastAsia="zh-CN" w:bidi="ar"/>
              </w:rPr>
              <w:t>行业</w:t>
            </w:r>
          </w:p>
        </w:tc>
        <w:tc>
          <w:tcPr>
            <w:tcW w:w="2721"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2019届</w:t>
            </w:r>
          </w:p>
        </w:tc>
        <w:tc>
          <w:tcPr>
            <w:tcW w:w="2793"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2020届</w:t>
            </w:r>
          </w:p>
        </w:tc>
        <w:tc>
          <w:tcPr>
            <w:tcW w:w="1080"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趋势</w:t>
            </w:r>
          </w:p>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变化</w:t>
            </w:r>
          </w:p>
        </w:tc>
      </w:tr>
      <w:tr>
        <w:tblPrEx>
          <w:tblCellMar>
            <w:top w:w="0" w:type="dxa"/>
            <w:left w:w="108" w:type="dxa"/>
            <w:bottom w:w="0" w:type="dxa"/>
            <w:right w:w="108" w:type="dxa"/>
          </w:tblCellMar>
        </w:tblPrEx>
        <w:trPr>
          <w:trHeight w:val="567" w:hRule="exact"/>
          <w:jc w:val="center"/>
        </w:trPr>
        <w:tc>
          <w:tcPr>
            <w:tcW w:w="2139"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p>
        </w:tc>
        <w:tc>
          <w:tcPr>
            <w:tcW w:w="110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62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23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6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080"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bidi="ar"/>
              </w:rPr>
            </w:pP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rPr>
              <w:t>信息传输、软件和信息技术服务业</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134</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41.36%</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125</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eastAsia" w:ascii="Times New Roman" w:hAnsi="Times New Roman" w:eastAsia="宋体" w:cs="Times New Roman"/>
                <w:color w:val="000000"/>
                <w:kern w:val="0"/>
                <w:sz w:val="24"/>
                <w:szCs w:val="24"/>
                <w:lang w:val="en-US" w:eastAsia="zh-CN"/>
              </w:rPr>
              <w:t>37.65%</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bidi="ar-SA"/>
              </w:rPr>
              <w:t>电力、热力、燃气及水生产和供应业</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71</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21.91%</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64</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19.28%</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rPr>
              <w:t>高等院校</w:t>
            </w:r>
            <w:r>
              <w:rPr>
                <w:rFonts w:hint="eastAsia" w:ascii="Times New Roman" w:hAnsi="Times New Roman" w:eastAsia="宋体" w:cs="Times New Roman"/>
                <w:color w:val="000000"/>
                <w:kern w:val="0"/>
                <w:sz w:val="24"/>
                <w:lang w:val="en-US" w:eastAsia="zh-CN"/>
              </w:rPr>
              <w:t>/科研机构</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35</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10.80</w:t>
            </w:r>
            <w:r>
              <w:rPr>
                <w:rFonts w:hint="eastAsia" w:ascii="Times New Roman" w:hAnsi="Times New Roman" w:eastAsia="宋体" w:cs="Times New Roman"/>
                <w:color w:val="000000"/>
                <w:kern w:val="0"/>
                <w:sz w:val="24"/>
                <w:szCs w:val="24"/>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45</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13.55%</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rPr>
              <w:t>服务业</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51</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15.74</w:t>
            </w:r>
            <w:r>
              <w:rPr>
                <w:rFonts w:hint="eastAsia" w:ascii="Times New Roman" w:hAnsi="Times New Roman" w:eastAsia="宋体" w:cs="Times New Roman"/>
                <w:color w:val="000000"/>
                <w:kern w:val="0"/>
                <w:sz w:val="24"/>
                <w:szCs w:val="24"/>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42</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12.65%</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制造业</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19</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5.86</w:t>
            </w:r>
            <w:r>
              <w:rPr>
                <w:rFonts w:hint="eastAsia" w:ascii="Times New Roman" w:hAnsi="Times New Roman" w:eastAsia="宋体" w:cs="Times New Roman"/>
                <w:color w:val="000000"/>
                <w:kern w:val="0"/>
                <w:sz w:val="24"/>
                <w:szCs w:val="24"/>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24</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7.23%</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bidi="ar"/>
              </w:rPr>
              <w:t>政府机关</w:t>
            </w:r>
            <w:r>
              <w:rPr>
                <w:rFonts w:hint="eastAsia" w:ascii="Times New Roman" w:hAnsi="Times New Roman" w:eastAsia="宋体" w:cs="Times New Roman"/>
                <w:color w:val="000000"/>
                <w:kern w:val="0"/>
                <w:sz w:val="24"/>
                <w:lang w:val="en-US" w:eastAsia="zh-CN" w:bidi="ar"/>
              </w:rPr>
              <w:t>/公共服务</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0.62</w:t>
            </w:r>
            <w:r>
              <w:rPr>
                <w:rFonts w:hint="eastAsia" w:ascii="Times New Roman" w:hAnsi="Times New Roman" w:eastAsia="宋体" w:cs="Times New Roman"/>
                <w:color w:val="000000"/>
                <w:kern w:val="0"/>
                <w:sz w:val="24"/>
                <w:szCs w:val="24"/>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19</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5.72%</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lang w:eastAsia="zh-CN"/>
              </w:rPr>
              <w:t>金融业</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9</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2.78%</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11</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3.31%</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auto"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lang w:eastAsia="zh-CN"/>
              </w:rPr>
              <w:t>卫生和社会工作</w:t>
            </w:r>
          </w:p>
        </w:tc>
        <w:tc>
          <w:tcPr>
            <w:tcW w:w="1101" w:type="dxa"/>
            <w:tcBorders>
              <w:top w:val="single" w:color="000000" w:sz="4" w:space="0"/>
              <w:left w:val="single" w:color="000000" w:sz="4" w:space="0"/>
              <w:bottom w:val="single" w:color="auto" w:sz="4" w:space="0"/>
              <w:right w:val="single" w:color="000000" w:sz="4" w:space="0"/>
            </w:tcBorders>
            <w:shd w:val="clear" w:color="auto" w:fill="E2EFDA" w:themeFill="accent6" w:themeFillTint="32"/>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w:t>
            </w:r>
          </w:p>
        </w:tc>
        <w:tc>
          <w:tcPr>
            <w:tcW w:w="1620" w:type="dxa"/>
            <w:tcBorders>
              <w:top w:val="single" w:color="000000" w:sz="4" w:space="0"/>
              <w:left w:val="single" w:color="000000" w:sz="4" w:space="0"/>
              <w:bottom w:val="single" w:color="auto" w:sz="4" w:space="0"/>
              <w:right w:val="single" w:color="000000" w:sz="4" w:space="0"/>
            </w:tcBorders>
            <w:shd w:val="clear" w:color="auto" w:fill="E2EFDA" w:themeFill="accent6" w:themeFillTint="32"/>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0.93%</w:t>
            </w:r>
          </w:p>
        </w:tc>
        <w:tc>
          <w:tcPr>
            <w:tcW w:w="1233" w:type="dxa"/>
            <w:tcBorders>
              <w:top w:val="single" w:color="000000" w:sz="4" w:space="0"/>
              <w:left w:val="single" w:color="000000" w:sz="4" w:space="0"/>
              <w:bottom w:val="single" w:color="auto"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w:t>
            </w:r>
          </w:p>
        </w:tc>
        <w:tc>
          <w:tcPr>
            <w:tcW w:w="1560" w:type="dxa"/>
            <w:tcBorders>
              <w:top w:val="single" w:color="000000" w:sz="4" w:space="0"/>
              <w:left w:val="single" w:color="000000" w:sz="4" w:space="0"/>
              <w:bottom w:val="single" w:color="auto"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0.60%</w:t>
            </w:r>
          </w:p>
        </w:tc>
        <w:tc>
          <w:tcPr>
            <w:tcW w:w="1080" w:type="dxa"/>
            <w:tcBorders>
              <w:top w:val="single" w:color="000000" w:sz="4" w:space="0"/>
              <w:left w:val="single" w:color="000000" w:sz="4" w:space="0"/>
              <w:bottom w:val="single" w:color="auto"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bl>
    <w:p>
      <w:pPr>
        <w:pStyle w:val="3"/>
        <w:shd w:val="clear"/>
        <w:spacing w:before="0" w:after="0" w:line="360" w:lineRule="auto"/>
        <w:rPr>
          <w:rFonts w:hint="eastAsia" w:ascii="Times New Roman" w:hAnsi="Times New Roman" w:eastAsia="宋体" w:cs="Times New Roman"/>
          <w:sz w:val="28"/>
          <w:szCs w:val="22"/>
          <w:lang w:val="en-US" w:eastAsia="zh-CN"/>
        </w:rPr>
      </w:pPr>
    </w:p>
    <w:p>
      <w:pPr>
        <w:pStyle w:val="3"/>
        <w:shd w:val="clear"/>
        <w:spacing w:before="0" w:after="0" w:line="360" w:lineRule="auto"/>
        <w:rPr>
          <w:rFonts w:hint="eastAsia" w:ascii="Times New Roman" w:hAnsi="Times New Roman" w:eastAsia="宋体" w:cs="Times New Roman"/>
          <w:sz w:val="28"/>
          <w:szCs w:val="22"/>
          <w:lang w:eastAsia="zh-CN"/>
        </w:rPr>
      </w:pPr>
      <w:r>
        <w:rPr>
          <w:rFonts w:hint="eastAsia" w:ascii="Times New Roman" w:hAnsi="Times New Roman" w:eastAsia="宋体" w:cs="Times New Roman"/>
          <w:sz w:val="28"/>
          <w:szCs w:val="22"/>
          <w:lang w:val="en-US" w:eastAsia="zh-CN"/>
        </w:rPr>
        <w:t>4、2019届与2020届</w:t>
      </w:r>
      <w:r>
        <w:rPr>
          <w:rFonts w:hint="default" w:ascii="Times New Roman" w:hAnsi="Times New Roman" w:eastAsia="宋体" w:cs="Times New Roman"/>
          <w:sz w:val="28"/>
          <w:szCs w:val="22"/>
        </w:rPr>
        <w:t>毕业生就业区域流向趋势变化</w:t>
      </w:r>
      <w:r>
        <w:rPr>
          <w:rFonts w:hint="eastAsia" w:ascii="Times New Roman" w:hAnsi="Times New Roman" w:eastAsia="宋体" w:cs="Times New Roman"/>
          <w:sz w:val="28"/>
          <w:szCs w:val="22"/>
          <w:lang w:eastAsia="zh-CN"/>
        </w:rPr>
        <w:t>分析</w:t>
      </w:r>
    </w:p>
    <w:p>
      <w:pPr>
        <w:pStyle w:val="13"/>
        <w:keepNext w:val="0"/>
        <w:keepLines w:val="0"/>
        <w:pageBreakBefore w:val="0"/>
        <w:widowControl w:val="0"/>
        <w:shd w:val="clear"/>
        <w:kinsoku/>
        <w:wordWrap/>
        <w:overflowPunct/>
        <w:topLinePunct w:val="0"/>
        <w:autoSpaceDE/>
        <w:autoSpaceDN/>
        <w:bidi w:val="0"/>
        <w:adjustRightInd/>
        <w:snapToGrid/>
        <w:spacing w:line="560" w:lineRule="exact"/>
        <w:ind w:right="0" w:firstLine="560" w:firstLineChars="200"/>
        <w:jc w:val="both"/>
        <w:textAlignment w:val="auto"/>
        <w:rPr>
          <w:rFonts w:hint="default" w:ascii="Times New Roman" w:hAnsi="Times New Roman" w:eastAsia="宋体" w:cs="Times New Roman"/>
          <w:kern w:val="2"/>
          <w:sz w:val="28"/>
          <w:szCs w:val="28"/>
          <w:lang w:eastAsia="zh-CN" w:bidi="ar"/>
        </w:rPr>
      </w:pPr>
      <w:r>
        <w:rPr>
          <w:rFonts w:hint="eastAsia" w:ascii="Times New Roman" w:hAnsi="Times New Roman" w:eastAsia="宋体" w:cs="Times New Roman"/>
          <w:kern w:val="2"/>
          <w:sz w:val="28"/>
          <w:szCs w:val="28"/>
          <w:lang w:eastAsia="zh-CN" w:bidi="ar"/>
        </w:rPr>
        <w:t>根据对</w:t>
      </w:r>
      <w:r>
        <w:rPr>
          <w:rFonts w:hint="default" w:ascii="Times New Roman" w:hAnsi="Times New Roman" w:eastAsia="宋体" w:cs="Times New Roman"/>
          <w:kern w:val="2"/>
          <w:sz w:val="28"/>
          <w:szCs w:val="28"/>
          <w:lang w:eastAsia="zh-CN" w:bidi="ar"/>
        </w:rPr>
        <w:t>我院</w:t>
      </w:r>
      <w:r>
        <w:rPr>
          <w:rFonts w:hint="default" w:ascii="Times New Roman" w:hAnsi="Times New Roman" w:eastAsia="宋体" w:cs="Times New Roman"/>
          <w:kern w:val="2"/>
          <w:sz w:val="28"/>
          <w:szCs w:val="28"/>
          <w:lang w:val="en-US" w:eastAsia="zh-CN" w:bidi="ar"/>
        </w:rPr>
        <w:t>2020</w:t>
      </w:r>
      <w:r>
        <w:rPr>
          <w:rFonts w:hint="default" w:ascii="Times New Roman" w:hAnsi="Times New Roman" w:eastAsia="宋体" w:cs="Times New Roman"/>
          <w:kern w:val="2"/>
          <w:sz w:val="28"/>
          <w:szCs w:val="28"/>
          <w:lang w:eastAsia="zh-CN" w:bidi="ar"/>
        </w:rPr>
        <w:t>届毕业生</w:t>
      </w:r>
      <w:r>
        <w:rPr>
          <w:rFonts w:hint="eastAsia" w:ascii="Times New Roman" w:hAnsi="Times New Roman" w:eastAsia="宋体" w:cs="Times New Roman"/>
          <w:kern w:val="2"/>
          <w:sz w:val="28"/>
          <w:szCs w:val="28"/>
          <w:lang w:eastAsia="zh-CN" w:bidi="ar"/>
        </w:rPr>
        <w:t>与</w:t>
      </w:r>
      <w:r>
        <w:rPr>
          <w:rFonts w:hint="eastAsia" w:ascii="Times New Roman" w:hAnsi="Times New Roman" w:eastAsia="宋体" w:cs="Times New Roman"/>
          <w:kern w:val="2"/>
          <w:sz w:val="28"/>
          <w:szCs w:val="28"/>
          <w:lang w:val="en-US" w:eastAsia="zh-CN" w:bidi="ar"/>
        </w:rPr>
        <w:t>2019届毕业生</w:t>
      </w:r>
      <w:r>
        <w:rPr>
          <w:rFonts w:hint="default" w:ascii="Times New Roman" w:hAnsi="Times New Roman" w:eastAsia="宋体" w:cs="Times New Roman"/>
          <w:kern w:val="2"/>
          <w:sz w:val="28"/>
          <w:szCs w:val="28"/>
          <w:lang w:eastAsia="zh-CN" w:bidi="ar"/>
        </w:rPr>
        <w:t>地域流向</w:t>
      </w:r>
      <w:r>
        <w:rPr>
          <w:rFonts w:hint="eastAsia" w:ascii="Times New Roman" w:hAnsi="Times New Roman" w:eastAsia="宋体" w:cs="Times New Roman"/>
          <w:kern w:val="2"/>
          <w:sz w:val="28"/>
          <w:szCs w:val="28"/>
          <w:lang w:eastAsia="zh-CN" w:bidi="ar"/>
        </w:rPr>
        <w:t>趋势变化分析可知，</w:t>
      </w:r>
      <w:r>
        <w:rPr>
          <w:rFonts w:hint="eastAsia" w:ascii="Times New Roman" w:hAnsi="Times New Roman" w:eastAsia="宋体" w:cs="Times New Roman"/>
          <w:kern w:val="2"/>
          <w:sz w:val="28"/>
          <w:szCs w:val="28"/>
          <w:lang w:val="en-US" w:eastAsia="zh-CN" w:bidi="ar"/>
        </w:rPr>
        <w:t>2020届毕业生就业区域流向</w:t>
      </w:r>
      <w:r>
        <w:rPr>
          <w:rFonts w:hint="default" w:ascii="Times New Roman" w:hAnsi="Times New Roman" w:eastAsia="宋体" w:cs="Times New Roman"/>
          <w:kern w:val="2"/>
          <w:sz w:val="28"/>
          <w:szCs w:val="28"/>
          <w:lang w:eastAsia="zh-CN" w:bidi="ar"/>
        </w:rPr>
        <w:t>泛珠江三角洲区域经济体</w:t>
      </w:r>
      <w:r>
        <w:rPr>
          <w:rFonts w:hint="eastAsia" w:ascii="Times New Roman" w:hAnsi="Times New Roman" w:eastAsia="宋体" w:cs="Times New Roman"/>
          <w:kern w:val="2"/>
          <w:sz w:val="28"/>
          <w:szCs w:val="28"/>
          <w:lang w:eastAsia="zh-CN" w:bidi="ar"/>
        </w:rPr>
        <w:t>、</w:t>
      </w:r>
      <w:r>
        <w:rPr>
          <w:rFonts w:hint="default" w:ascii="Times New Roman" w:hAnsi="Times New Roman" w:eastAsia="宋体" w:cs="Times New Roman"/>
          <w:kern w:val="2"/>
          <w:sz w:val="28"/>
          <w:szCs w:val="28"/>
          <w:lang w:eastAsia="zh-CN" w:bidi="ar"/>
        </w:rPr>
        <w:t>泛渤海湾区域经济体、西部生态经济区</w:t>
      </w:r>
      <w:r>
        <w:rPr>
          <w:rFonts w:hint="eastAsia" w:ascii="Times New Roman" w:hAnsi="Times New Roman" w:eastAsia="宋体" w:cs="Times New Roman"/>
          <w:kern w:val="2"/>
          <w:sz w:val="28"/>
          <w:szCs w:val="28"/>
          <w:lang w:eastAsia="zh-CN" w:bidi="ar"/>
        </w:rPr>
        <w:t>、</w:t>
      </w:r>
      <w:r>
        <w:rPr>
          <w:rFonts w:hint="default" w:ascii="Times New Roman" w:hAnsi="Times New Roman" w:eastAsia="宋体" w:cs="Times New Roman"/>
          <w:kern w:val="2"/>
          <w:sz w:val="28"/>
          <w:szCs w:val="28"/>
          <w:lang w:eastAsia="zh-CN" w:bidi="ar"/>
        </w:rPr>
        <w:t>泛东北区域经济体</w:t>
      </w:r>
      <w:r>
        <w:rPr>
          <w:rFonts w:hint="eastAsia" w:ascii="Times New Roman" w:hAnsi="Times New Roman" w:eastAsia="宋体" w:cs="Times New Roman"/>
          <w:kern w:val="2"/>
          <w:sz w:val="28"/>
          <w:szCs w:val="28"/>
          <w:lang w:eastAsia="zh-CN" w:bidi="ar"/>
        </w:rPr>
        <w:t>呈上升趋势</w:t>
      </w:r>
      <w:r>
        <w:rPr>
          <w:rFonts w:hint="default" w:ascii="Times New Roman" w:hAnsi="Times New Roman" w:eastAsia="宋体" w:cs="Times New Roman"/>
          <w:kern w:val="2"/>
          <w:sz w:val="28"/>
          <w:szCs w:val="28"/>
          <w:lang w:eastAsia="zh-CN" w:bidi="ar"/>
        </w:rPr>
        <w:t>（表</w:t>
      </w:r>
      <w:r>
        <w:rPr>
          <w:rFonts w:hint="eastAsia" w:ascii="Times New Roman" w:hAnsi="Times New Roman" w:eastAsia="宋体" w:cs="Times New Roman"/>
          <w:kern w:val="2"/>
          <w:sz w:val="28"/>
          <w:szCs w:val="28"/>
          <w:lang w:val="en-US" w:eastAsia="zh-CN" w:bidi="ar"/>
        </w:rPr>
        <w:t>9</w:t>
      </w:r>
      <w:r>
        <w:rPr>
          <w:rFonts w:hint="default" w:ascii="Times New Roman" w:hAnsi="Times New Roman" w:eastAsia="宋体" w:cs="Times New Roman"/>
          <w:kern w:val="2"/>
          <w:sz w:val="28"/>
          <w:szCs w:val="28"/>
          <w:lang w:eastAsia="zh-CN" w:bidi="ar"/>
        </w:rPr>
        <w:t>）。</w:t>
      </w:r>
    </w:p>
    <w:p>
      <w:pPr>
        <w:pStyle w:val="13"/>
        <w:spacing w:line="560" w:lineRule="exact"/>
        <w:ind w:right="0"/>
        <w:jc w:val="center"/>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9  2019届与2020届</w:t>
      </w:r>
      <w:r>
        <w:rPr>
          <w:rFonts w:hint="default" w:ascii="Times New Roman" w:hAnsi="Times New Roman" w:eastAsia="宋体" w:cs="Times New Roman"/>
          <w:b/>
          <w:bCs/>
          <w:color w:val="auto"/>
          <w:kern w:val="2"/>
          <w:sz w:val="24"/>
          <w:szCs w:val="24"/>
          <w:lang w:val="en-US" w:eastAsia="zh-CN" w:bidi="ar-SA"/>
        </w:rPr>
        <w:t>毕业生就业区域流向趋势变化</w:t>
      </w:r>
      <w:r>
        <w:rPr>
          <w:rFonts w:hint="eastAsia" w:ascii="Times New Roman" w:hAnsi="Times New Roman" w:eastAsia="宋体" w:cs="Times New Roman"/>
          <w:b/>
          <w:bCs/>
          <w:color w:val="auto"/>
          <w:kern w:val="2"/>
          <w:sz w:val="24"/>
          <w:szCs w:val="24"/>
          <w:lang w:val="en-US" w:eastAsia="zh-CN" w:bidi="ar-SA"/>
        </w:rPr>
        <w:t>分析</w:t>
      </w:r>
    </w:p>
    <w:tbl>
      <w:tblPr>
        <w:tblStyle w:val="14"/>
        <w:tblW w:w="8733" w:type="dxa"/>
        <w:jc w:val="center"/>
        <w:tblLayout w:type="fixed"/>
        <w:tblCellMar>
          <w:top w:w="0" w:type="dxa"/>
          <w:left w:w="108" w:type="dxa"/>
          <w:bottom w:w="0" w:type="dxa"/>
          <w:right w:w="108" w:type="dxa"/>
        </w:tblCellMar>
      </w:tblPr>
      <w:tblGrid>
        <w:gridCol w:w="2139"/>
        <w:gridCol w:w="1101"/>
        <w:gridCol w:w="1620"/>
        <w:gridCol w:w="1233"/>
        <w:gridCol w:w="1560"/>
        <w:gridCol w:w="1080"/>
      </w:tblGrid>
      <w:tr>
        <w:tblPrEx>
          <w:tblCellMar>
            <w:top w:w="0" w:type="dxa"/>
            <w:left w:w="108" w:type="dxa"/>
            <w:bottom w:w="0" w:type="dxa"/>
            <w:right w:w="108" w:type="dxa"/>
          </w:tblCellMar>
        </w:tblPrEx>
        <w:trPr>
          <w:trHeight w:val="567" w:hRule="exact"/>
          <w:jc w:val="center"/>
        </w:trPr>
        <w:tc>
          <w:tcPr>
            <w:tcW w:w="2139"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szCs w:val="24"/>
                <w:lang w:bidi="ar"/>
              </w:rPr>
              <w:t>地域名称</w:t>
            </w:r>
          </w:p>
        </w:tc>
        <w:tc>
          <w:tcPr>
            <w:tcW w:w="2721"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2019届</w:t>
            </w:r>
          </w:p>
        </w:tc>
        <w:tc>
          <w:tcPr>
            <w:tcW w:w="2793"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2020届</w:t>
            </w:r>
          </w:p>
        </w:tc>
        <w:tc>
          <w:tcPr>
            <w:tcW w:w="1080"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趋势</w:t>
            </w:r>
          </w:p>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变化</w:t>
            </w:r>
          </w:p>
        </w:tc>
      </w:tr>
      <w:tr>
        <w:tblPrEx>
          <w:tblCellMar>
            <w:top w:w="0" w:type="dxa"/>
            <w:left w:w="108" w:type="dxa"/>
            <w:bottom w:w="0" w:type="dxa"/>
            <w:right w:w="108" w:type="dxa"/>
          </w:tblCellMar>
        </w:tblPrEx>
        <w:trPr>
          <w:trHeight w:val="567" w:hRule="exact"/>
          <w:jc w:val="center"/>
        </w:trPr>
        <w:tc>
          <w:tcPr>
            <w:tcW w:w="2139"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p>
        </w:tc>
        <w:tc>
          <w:tcPr>
            <w:tcW w:w="110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62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23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6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080"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bidi="ar"/>
              </w:rPr>
            </w:pP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lang w:bidi="ar"/>
              </w:rPr>
              <w:t>中原区域经济体</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255</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78.70%</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180</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54.22</w:t>
            </w:r>
            <w:r>
              <w:rPr>
                <w:rFonts w:hint="default" w:ascii="Times New Roman" w:hAnsi="Times New Roman" w:eastAsia="宋体" w:cs="Times New Roman"/>
                <w:b/>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lang w:bidi="ar"/>
              </w:rPr>
              <w:t>泛珠江三角洲区域经济体</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18</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5.56%</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65</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19.58</w:t>
            </w:r>
            <w:r>
              <w:rPr>
                <w:rFonts w:hint="default" w:ascii="Times New Roman" w:hAnsi="Times New Roman" w:eastAsia="宋体" w:cs="Times New Roman"/>
                <w:b/>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泛长江三角洲区域经济体</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19</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5.86%</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18</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5.42</w:t>
            </w:r>
            <w:r>
              <w:rPr>
                <w:rFonts w:hint="default" w:ascii="Times New Roman" w:hAnsi="Times New Roman" w:eastAsia="宋体" w:cs="Times New Roman"/>
                <w:b/>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泛渤海湾区域经济体</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2.16%</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12</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3.61</w:t>
            </w:r>
            <w:r>
              <w:rPr>
                <w:rFonts w:hint="default" w:ascii="Times New Roman" w:hAnsi="Times New Roman" w:eastAsia="宋体" w:cs="Times New Roman"/>
                <w:b/>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西南区域经济体</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15</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4.63%</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10</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3.01</w:t>
            </w:r>
            <w:r>
              <w:rPr>
                <w:rFonts w:hint="default" w:ascii="Times New Roman" w:hAnsi="Times New Roman" w:eastAsia="宋体" w:cs="Times New Roman"/>
                <w:b/>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西部生态经济区</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0.93%</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9</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2.71</w:t>
            </w:r>
            <w:r>
              <w:rPr>
                <w:rFonts w:hint="default" w:ascii="Times New Roman" w:hAnsi="Times New Roman" w:eastAsia="宋体" w:cs="Times New Roman"/>
                <w:b/>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rPr>
              <w:t>泛东北区域经济体</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0.62%</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5</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1.51</w:t>
            </w:r>
            <w:r>
              <w:rPr>
                <w:rFonts w:hint="default" w:ascii="Times New Roman" w:hAnsi="Times New Roman" w:eastAsia="宋体" w:cs="Times New Roman"/>
                <w:b/>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lang w:bidi="ar"/>
              </w:rPr>
              <w:t>陕甘宁青区域经济体</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4</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1.23%</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0.60</w:t>
            </w:r>
            <w:r>
              <w:rPr>
                <w:rFonts w:hint="default" w:ascii="Times New Roman" w:hAnsi="Times New Roman" w:eastAsia="宋体" w:cs="Times New Roman"/>
                <w:b/>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bidi="ar"/>
              </w:rPr>
            </w:pPr>
            <w:r>
              <w:rPr>
                <w:rFonts w:hint="default" w:ascii="Times New Roman" w:hAnsi="Times New Roman" w:eastAsia="宋体" w:cs="Times New Roman"/>
                <w:kern w:val="0"/>
                <w:sz w:val="24"/>
                <w:szCs w:val="24"/>
              </w:rPr>
              <w:t>其他</w:t>
            </w:r>
          </w:p>
        </w:tc>
        <w:tc>
          <w:tcPr>
            <w:tcW w:w="11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0.31%</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31</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9.34</w:t>
            </w:r>
            <w:r>
              <w:rPr>
                <w:rFonts w:hint="default" w:ascii="Times New Roman" w:hAnsi="Times New Roman" w:eastAsia="宋体" w:cs="Times New Roman"/>
                <w:b/>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bl>
    <w:p>
      <w:pPr>
        <w:tabs>
          <w:tab w:val="left" w:pos="6451"/>
        </w:tabs>
        <w:jc w:val="left"/>
        <w:rPr>
          <w:rFonts w:hint="default" w:ascii="Times New Roman" w:hAnsi="Times New Roman" w:eastAsia="宋体" w:cs="Times New Roman"/>
        </w:rPr>
      </w:pPr>
      <w:r>
        <w:rPr>
          <w:rFonts w:hint="default" w:ascii="Times New Roman" w:hAnsi="Times New Roman" w:eastAsia="宋体" w:cs="Times New Roman"/>
          <w:spacing w:val="-2"/>
          <w:sz w:val="18"/>
          <w:szCs w:val="18"/>
          <w:lang w:bidi="ar"/>
        </w:rPr>
        <w:t>注：本报告按八大区域经济体划分毕业生地域流向，分别是中原区域经济体（河南、湖北、湖南）、泛珠江三角洲区域经济体（广东、广西、福建、海南）、泛长江三角洲区域经济体（上海、江苏、浙江、江西、安徽）、泛渤海湾区域经济体（北京、天津、山东、河北、内蒙古、山西）、西南区域经济体（重庆、四川、贵州、云南）、西部生态经济区（西藏、新疆）、泛东北区域经济体（黑龙江、吉林、辽</w:t>
      </w:r>
      <w:r>
        <w:rPr>
          <w:rFonts w:hint="eastAsia" w:ascii="Times New Roman" w:hAnsi="Times New Roman" w:eastAsia="宋体" w:cs="Times New Roman"/>
          <w:spacing w:val="-2"/>
          <w:sz w:val="18"/>
          <w:szCs w:val="18"/>
          <w:lang w:eastAsia="zh-CN" w:bidi="ar"/>
        </w:rPr>
        <w:t>宁</w:t>
      </w:r>
      <w:r>
        <w:rPr>
          <w:rFonts w:hint="default" w:ascii="Times New Roman" w:hAnsi="Times New Roman" w:eastAsia="宋体" w:cs="Times New Roman"/>
          <w:spacing w:val="-2"/>
          <w:sz w:val="18"/>
          <w:szCs w:val="18"/>
          <w:lang w:bidi="ar"/>
        </w:rPr>
        <w:t>）、陕甘宁青区域经济体（陕西、甘肃、宁夏、青海）。</w:t>
      </w:r>
    </w:p>
    <w:bookmarkEnd w:id="42"/>
    <w:bookmarkEnd w:id="43"/>
    <w:bookmarkEnd w:id="44"/>
    <w:bookmarkEnd w:id="45"/>
    <w:p>
      <w:pPr>
        <w:pStyle w:val="2"/>
        <w:rPr>
          <w:rFonts w:hint="default" w:ascii="Times New Roman" w:hAnsi="Times New Roman" w:eastAsia="宋体" w:cs="Times New Roman"/>
          <w:color w:val="auto"/>
          <w:sz w:val="28"/>
          <w:szCs w:val="28"/>
        </w:rPr>
      </w:pPr>
      <w:bookmarkStart w:id="46" w:name="_Toc25455"/>
      <w:bookmarkStart w:id="47" w:name="_Toc3553"/>
      <w:bookmarkStart w:id="48" w:name="_Toc11321"/>
      <w:bookmarkStart w:id="49" w:name="_Toc3005"/>
      <w:bookmarkStart w:id="50" w:name="_Toc8752"/>
      <w:r>
        <w:rPr>
          <w:rFonts w:hint="default" w:ascii="Times New Roman" w:hAnsi="Times New Roman" w:eastAsia="宋体" w:cs="Times New Roman"/>
          <w:color w:val="auto"/>
          <w:sz w:val="28"/>
          <w:szCs w:val="28"/>
        </w:rPr>
        <w:t>四、毕业生就业创业工作</w:t>
      </w:r>
      <w:bookmarkEnd w:id="46"/>
      <w:bookmarkEnd w:id="47"/>
      <w:bookmarkEnd w:id="48"/>
      <w:bookmarkEnd w:id="49"/>
      <w:r>
        <w:rPr>
          <w:rFonts w:hint="default" w:ascii="Times New Roman" w:hAnsi="Times New Roman" w:eastAsia="宋体" w:cs="Times New Roman"/>
          <w:color w:val="auto"/>
          <w:sz w:val="28"/>
          <w:szCs w:val="28"/>
        </w:rPr>
        <w:t>举措</w:t>
      </w:r>
      <w:bookmarkEnd w:id="50"/>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宋体" w:cs="Times New Roman"/>
          <w:color w:val="auto"/>
          <w:kern w:val="0"/>
          <w:sz w:val="28"/>
          <w:szCs w:val="28"/>
          <w:shd w:val="clear" w:fill="FFFFFF"/>
        </w:rPr>
      </w:pPr>
      <w:r>
        <w:rPr>
          <w:rFonts w:hint="default" w:ascii="Times New Roman" w:hAnsi="Times New Roman" w:eastAsia="宋体" w:cs="Times New Roman"/>
          <w:color w:val="auto"/>
          <w:kern w:val="0"/>
          <w:sz w:val="28"/>
          <w:szCs w:val="28"/>
          <w:shd w:val="clear" w:fill="FFFFFF"/>
          <w:lang w:val="en-US" w:eastAsia="zh-CN"/>
        </w:rPr>
        <w:t xml:space="preserve">2020 </w:t>
      </w:r>
      <w:r>
        <w:rPr>
          <w:rFonts w:hint="eastAsia" w:ascii="Times New Roman" w:hAnsi="Times New Roman" w:eastAsia="宋体" w:cs="Times New Roman"/>
          <w:color w:val="auto"/>
          <w:kern w:val="0"/>
          <w:sz w:val="28"/>
          <w:szCs w:val="28"/>
          <w:shd w:val="clear" w:fill="FFFFFF"/>
          <w:lang w:val="en-US" w:eastAsia="zh-CN"/>
        </w:rPr>
        <w:t>年在疫情防控的特殊情况之下，为进一步做好“稳就业”工作，</w:t>
      </w:r>
      <w:r>
        <w:rPr>
          <w:rFonts w:hint="default" w:ascii="Times New Roman" w:hAnsi="Times New Roman" w:eastAsia="宋体" w:cs="Times New Roman"/>
          <w:color w:val="auto"/>
          <w:kern w:val="0"/>
          <w:sz w:val="28"/>
          <w:szCs w:val="28"/>
          <w:shd w:val="clear" w:fill="FFFFFF"/>
        </w:rPr>
        <w:t>学院高度重视毕业生就业工作</w:t>
      </w:r>
      <w:r>
        <w:rPr>
          <w:rFonts w:hint="eastAsia" w:ascii="Times New Roman" w:hAnsi="Times New Roman" w:eastAsia="宋体" w:cs="Times New Roman"/>
          <w:color w:val="auto"/>
          <w:kern w:val="0"/>
          <w:sz w:val="28"/>
          <w:szCs w:val="28"/>
          <w:shd w:val="clear" w:fill="FFFFFF"/>
        </w:rPr>
        <w:t>，</w:t>
      </w:r>
      <w:r>
        <w:rPr>
          <w:rFonts w:hint="default" w:ascii="Times New Roman" w:hAnsi="Times New Roman" w:eastAsia="宋体" w:cs="Times New Roman"/>
          <w:color w:val="auto"/>
          <w:kern w:val="0"/>
          <w:sz w:val="28"/>
          <w:szCs w:val="28"/>
          <w:shd w:val="clear" w:fill="FFFFFF"/>
        </w:rPr>
        <w:t>紧紧围绕实现毕业生充分就业和不断提高就业质量的工作目标，</w:t>
      </w:r>
      <w:r>
        <w:rPr>
          <w:rFonts w:hint="eastAsia" w:ascii="Times New Roman" w:hAnsi="Times New Roman" w:eastAsia="宋体" w:cs="Times New Roman"/>
          <w:color w:val="auto"/>
          <w:kern w:val="0"/>
          <w:sz w:val="28"/>
          <w:szCs w:val="28"/>
          <w:shd w:val="clear" w:fill="FFFFFF"/>
        </w:rPr>
        <w:t>全院群策群力，全力以赴</w:t>
      </w:r>
      <w:r>
        <w:rPr>
          <w:rFonts w:hint="eastAsia" w:ascii="Times New Roman" w:hAnsi="Times New Roman" w:eastAsia="宋体" w:cs="Times New Roman"/>
          <w:color w:val="auto"/>
          <w:kern w:val="0"/>
          <w:sz w:val="28"/>
          <w:szCs w:val="28"/>
          <w:shd w:val="clear" w:fill="FFFFFF"/>
          <w:lang w:eastAsia="zh-CN"/>
        </w:rPr>
        <w:t>，</w:t>
      </w:r>
      <w:r>
        <w:rPr>
          <w:rFonts w:hint="eastAsia" w:ascii="Times New Roman" w:hAnsi="Times New Roman" w:eastAsia="宋体" w:cs="Times New Roman"/>
          <w:color w:val="auto"/>
          <w:kern w:val="0"/>
          <w:sz w:val="28"/>
          <w:szCs w:val="28"/>
          <w:shd w:val="clear" w:fill="FFFFFF"/>
        </w:rPr>
        <w:t>坚持“</w:t>
      </w:r>
      <w:r>
        <w:rPr>
          <w:rFonts w:hint="eastAsia" w:ascii="Times New Roman" w:hAnsi="Times New Roman" w:eastAsia="宋体" w:cs="Times New Roman"/>
          <w:color w:val="auto"/>
          <w:kern w:val="0"/>
          <w:sz w:val="28"/>
          <w:szCs w:val="28"/>
          <w:shd w:val="clear" w:fill="FFFFFF"/>
          <w:lang w:val="en-US" w:eastAsia="zh-CN"/>
        </w:rPr>
        <w:t>就业创业多元化</w:t>
      </w:r>
      <w:r>
        <w:rPr>
          <w:rFonts w:hint="eastAsia" w:ascii="Times New Roman" w:hAnsi="Times New Roman" w:eastAsia="宋体" w:cs="Times New Roman"/>
          <w:color w:val="auto"/>
          <w:kern w:val="0"/>
          <w:sz w:val="28"/>
          <w:szCs w:val="28"/>
          <w:shd w:val="clear" w:fill="FFFFFF"/>
        </w:rPr>
        <w:t>、</w:t>
      </w:r>
      <w:r>
        <w:rPr>
          <w:rFonts w:hint="eastAsia" w:ascii="Times New Roman" w:hAnsi="Times New Roman" w:eastAsia="宋体" w:cs="Times New Roman"/>
          <w:color w:val="auto"/>
          <w:kern w:val="0"/>
          <w:sz w:val="28"/>
          <w:szCs w:val="28"/>
          <w:shd w:val="clear" w:fill="FFFFFF"/>
          <w:lang w:val="en-US" w:eastAsia="zh-CN"/>
        </w:rPr>
        <w:t>市场开拓覆盖化</w:t>
      </w:r>
      <w:r>
        <w:rPr>
          <w:rFonts w:hint="eastAsia" w:ascii="Times New Roman" w:hAnsi="Times New Roman" w:eastAsia="宋体" w:cs="Times New Roman"/>
          <w:color w:val="auto"/>
          <w:kern w:val="0"/>
          <w:sz w:val="28"/>
          <w:szCs w:val="28"/>
          <w:shd w:val="clear" w:fill="FFFFFF"/>
        </w:rPr>
        <w:t>、</w:t>
      </w:r>
      <w:r>
        <w:rPr>
          <w:rFonts w:hint="eastAsia" w:ascii="Times New Roman" w:hAnsi="Times New Roman" w:eastAsia="宋体" w:cs="Times New Roman"/>
          <w:color w:val="auto"/>
          <w:kern w:val="0"/>
          <w:sz w:val="28"/>
          <w:szCs w:val="28"/>
          <w:shd w:val="clear" w:fill="FFFFFF"/>
          <w:lang w:val="en-US" w:eastAsia="zh-CN"/>
        </w:rPr>
        <w:t>人</w:t>
      </w:r>
      <w:r>
        <w:rPr>
          <w:rFonts w:hint="eastAsia" w:ascii="Times New Roman" w:hAnsi="Times New Roman" w:eastAsia="宋体" w:cs="Times New Roman"/>
          <w:color w:val="auto"/>
          <w:kern w:val="0"/>
          <w:sz w:val="28"/>
          <w:szCs w:val="28"/>
          <w:shd w:val="clear" w:fill="FFFFFF"/>
        </w:rPr>
        <w:t>员参与</w:t>
      </w:r>
      <w:r>
        <w:rPr>
          <w:rFonts w:hint="eastAsia" w:ascii="Times New Roman" w:hAnsi="Times New Roman" w:eastAsia="宋体" w:cs="Times New Roman"/>
          <w:color w:val="auto"/>
          <w:kern w:val="0"/>
          <w:sz w:val="28"/>
          <w:szCs w:val="28"/>
          <w:shd w:val="clear" w:fill="FFFFFF"/>
          <w:lang w:val="en-US" w:eastAsia="zh-CN"/>
        </w:rPr>
        <w:t>全员化</w:t>
      </w:r>
      <w:r>
        <w:rPr>
          <w:rFonts w:hint="eastAsia" w:ascii="Times New Roman" w:hAnsi="Times New Roman" w:eastAsia="宋体" w:cs="Times New Roman"/>
          <w:color w:val="auto"/>
          <w:kern w:val="0"/>
          <w:sz w:val="28"/>
          <w:szCs w:val="28"/>
          <w:shd w:val="clear" w:fill="FFFFFF"/>
        </w:rPr>
        <w:t>”的原则，积极拓宽就业创业途径,以提高就业创业率为目标，</w:t>
      </w:r>
      <w:r>
        <w:rPr>
          <w:rFonts w:hint="default" w:ascii="Times New Roman" w:hAnsi="Times New Roman" w:eastAsia="宋体" w:cs="Times New Roman"/>
          <w:color w:val="auto"/>
          <w:kern w:val="0"/>
          <w:sz w:val="28"/>
          <w:szCs w:val="28"/>
          <w:shd w:val="clear" w:fill="FFFFFF"/>
        </w:rPr>
        <w:t>推行就业工作目标管理，进一步强化思想共识，整合有效资源，构建长效机制，完善工作体系，有效提升就业创业指导服务工作的专业化水平，举全院之力促进毕业生高质量、充分就业。</w:t>
      </w:r>
      <w:r>
        <w:rPr>
          <w:rFonts w:hint="eastAsia" w:ascii="Times New Roman" w:hAnsi="Times New Roman" w:eastAsia="宋体" w:cs="Times New Roman"/>
          <w:color w:val="auto"/>
          <w:kern w:val="0"/>
          <w:sz w:val="28"/>
          <w:szCs w:val="28"/>
          <w:shd w:val="clear" w:fill="FFFFFF"/>
          <w:lang w:val="en-US" w:eastAsia="zh-CN"/>
        </w:rPr>
        <w:t xml:space="preserve">针对 </w:t>
      </w:r>
      <w:r>
        <w:rPr>
          <w:rFonts w:hint="default" w:ascii="Times New Roman" w:hAnsi="Times New Roman" w:eastAsia="宋体" w:cs="Times New Roman"/>
          <w:color w:val="auto"/>
          <w:kern w:val="0"/>
          <w:sz w:val="28"/>
          <w:szCs w:val="28"/>
          <w:shd w:val="clear" w:fill="FFFFFF"/>
          <w:lang w:val="en-US" w:eastAsia="zh-CN"/>
        </w:rPr>
        <w:t xml:space="preserve">2020 </w:t>
      </w:r>
      <w:r>
        <w:rPr>
          <w:rFonts w:hint="eastAsia" w:ascii="Times New Roman" w:hAnsi="Times New Roman" w:eastAsia="宋体" w:cs="Times New Roman"/>
          <w:color w:val="auto"/>
          <w:kern w:val="0"/>
          <w:sz w:val="28"/>
          <w:szCs w:val="28"/>
          <w:shd w:val="clear" w:fill="FFFFFF"/>
          <w:lang w:val="en-US" w:eastAsia="zh-CN"/>
        </w:rPr>
        <w:t xml:space="preserve">届毕业生的就业工作，具体工作举措主要有： </w:t>
      </w:r>
    </w:p>
    <w:p>
      <w:pPr>
        <w:pStyle w:val="3"/>
        <w:shd w:val="clear"/>
        <w:spacing w:before="0" w:after="0" w:line="360" w:lineRule="auto"/>
        <w:rPr>
          <w:rFonts w:hint="default" w:ascii="Times New Roman" w:hAnsi="Times New Roman" w:eastAsia="宋体" w:cs="Times New Roman"/>
          <w:color w:val="auto"/>
          <w:sz w:val="28"/>
          <w:szCs w:val="28"/>
        </w:rPr>
      </w:pPr>
      <w:bookmarkStart w:id="51" w:name="_Toc25351"/>
      <w:bookmarkStart w:id="52" w:name="_Toc1669"/>
      <w:bookmarkStart w:id="53" w:name="_Toc20135"/>
      <w:bookmarkStart w:id="54" w:name="_Toc3121"/>
      <w:r>
        <w:rPr>
          <w:rFonts w:hint="default" w:ascii="Times New Roman" w:hAnsi="Times New Roman" w:eastAsia="宋体" w:cs="Times New Roman"/>
          <w:color w:val="auto"/>
          <w:sz w:val="28"/>
          <w:szCs w:val="28"/>
        </w:rPr>
        <w:t>（一）建立健全就业创业工作</w:t>
      </w:r>
      <w:bookmarkEnd w:id="51"/>
      <w:bookmarkEnd w:id="52"/>
      <w:bookmarkEnd w:id="53"/>
      <w:r>
        <w:rPr>
          <w:rFonts w:hint="default" w:ascii="Times New Roman" w:hAnsi="Times New Roman" w:eastAsia="宋体" w:cs="Times New Roman"/>
          <w:color w:val="auto"/>
          <w:sz w:val="28"/>
          <w:szCs w:val="28"/>
        </w:rPr>
        <w:t>机制</w:t>
      </w:r>
      <w:bookmarkEnd w:id="54"/>
    </w:p>
    <w:p>
      <w:pPr>
        <w:ind w:left="105" w:righ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kern w:val="0"/>
          <w:sz w:val="28"/>
          <w:szCs w:val="28"/>
          <w:shd w:val="clear" w:fill="FFFFFF"/>
        </w:rPr>
        <w:t>学院与学校签订了《吉首大学毕业生就业工作目标责任书》，明确了就业创业工作目标、职责和任务。成立了以院长</w:t>
      </w:r>
      <w:r>
        <w:rPr>
          <w:rFonts w:hint="default" w:ascii="Times New Roman" w:hAnsi="Times New Roman" w:eastAsia="宋体" w:cs="Times New Roman"/>
          <w:color w:val="auto"/>
          <w:kern w:val="0"/>
          <w:sz w:val="28"/>
          <w:szCs w:val="28"/>
          <w:shd w:val="clear" w:fill="FFFFFF"/>
          <w:lang w:val="en-US" w:eastAsia="zh-CN"/>
        </w:rPr>
        <w:t>杨喜</w:t>
      </w:r>
      <w:r>
        <w:rPr>
          <w:rFonts w:hint="default" w:ascii="Times New Roman" w:hAnsi="Times New Roman" w:eastAsia="宋体" w:cs="Times New Roman"/>
          <w:color w:val="auto"/>
          <w:kern w:val="0"/>
          <w:sz w:val="28"/>
          <w:szCs w:val="28"/>
          <w:shd w:val="clear" w:fill="FFFFFF"/>
        </w:rPr>
        <w:t>、党委书记</w:t>
      </w:r>
      <w:r>
        <w:rPr>
          <w:rFonts w:hint="default" w:ascii="Times New Roman" w:hAnsi="Times New Roman" w:eastAsia="宋体" w:cs="Times New Roman"/>
          <w:color w:val="auto"/>
          <w:kern w:val="0"/>
          <w:sz w:val="28"/>
          <w:szCs w:val="28"/>
          <w:shd w:val="clear" w:fill="FFFFFF"/>
          <w:lang w:val="en-US" w:eastAsia="zh-CN"/>
        </w:rPr>
        <w:t>黄生祥</w:t>
      </w:r>
      <w:r>
        <w:rPr>
          <w:rFonts w:hint="default" w:ascii="Times New Roman" w:hAnsi="Times New Roman" w:eastAsia="宋体" w:cs="Times New Roman"/>
          <w:color w:val="auto"/>
          <w:kern w:val="0"/>
          <w:sz w:val="28"/>
          <w:szCs w:val="28"/>
          <w:shd w:val="clear" w:fill="FFFFFF"/>
        </w:rPr>
        <w:t>为组长，党委副书记田清旺为副组长，以教学系部主任、就业专干、教务秘书、辅导员、毕业班班主任为成员的毕业生就业工作领导小组。</w:t>
      </w:r>
      <w:r>
        <w:rPr>
          <w:rFonts w:hint="default" w:ascii="Times New Roman" w:hAnsi="Times New Roman" w:eastAsia="宋体" w:cs="Times New Roman"/>
          <w:color w:val="auto"/>
          <w:sz w:val="28"/>
          <w:szCs w:val="28"/>
        </w:rPr>
        <w:t>制定了《毕业生就业工作方案》、《就业市场建设方案》、《就业工作考核办法》以及</w:t>
      </w:r>
      <w:r>
        <w:rPr>
          <w:rFonts w:hint="eastAsia" w:ascii="Times New Roman" w:hAnsi="Times New Roman" w:eastAsia="宋体" w:cs="Times New Roman"/>
          <w:color w:val="auto"/>
          <w:sz w:val="28"/>
          <w:szCs w:val="28"/>
          <w:lang w:val="en-US" w:eastAsia="zh-CN"/>
        </w:rPr>
        <w:t>2020</w:t>
      </w:r>
      <w:r>
        <w:rPr>
          <w:rFonts w:hint="default" w:ascii="Times New Roman" w:hAnsi="Times New Roman" w:eastAsia="宋体" w:cs="Times New Roman"/>
          <w:color w:val="auto"/>
          <w:sz w:val="28"/>
          <w:szCs w:val="28"/>
        </w:rPr>
        <w:t>年度</w:t>
      </w:r>
      <w:r>
        <w:rPr>
          <w:rFonts w:hint="eastAsia" w:ascii="Times New Roman" w:hAnsi="Times New Roman" w:eastAsia="宋体" w:cs="Times New Roman"/>
          <w:color w:val="auto"/>
          <w:sz w:val="28"/>
          <w:szCs w:val="28"/>
          <w:lang w:eastAsia="zh-CN"/>
        </w:rPr>
        <w:t>就业创业</w:t>
      </w:r>
      <w:r>
        <w:rPr>
          <w:rFonts w:hint="default" w:ascii="Times New Roman" w:hAnsi="Times New Roman" w:eastAsia="宋体" w:cs="Times New Roman"/>
          <w:color w:val="auto"/>
          <w:sz w:val="28"/>
          <w:szCs w:val="28"/>
        </w:rPr>
        <w:t>工作计划，将毕业生就业工作与责任考核、津贴和评优挂钩，列入相关考核范围中，同时要求</w:t>
      </w:r>
      <w:r>
        <w:rPr>
          <w:rFonts w:hint="default" w:ascii="Times New Roman" w:hAnsi="Times New Roman" w:eastAsia="宋体" w:cs="Times New Roman"/>
          <w:color w:val="auto"/>
          <w:kern w:val="0"/>
          <w:sz w:val="28"/>
          <w:szCs w:val="28"/>
          <w:shd w:val="clear" w:fill="FFFFFF"/>
        </w:rPr>
        <w:t>就业创业工作专职人员、辅导员、任课教师积极服务毕业生就业工作，从而形成了全员参与的局面</w:t>
      </w:r>
      <w:r>
        <w:rPr>
          <w:rFonts w:hint="eastAsia" w:ascii="Times New Roman" w:hAnsi="Times New Roman" w:eastAsia="宋体" w:cs="Times New Roman"/>
          <w:color w:val="auto"/>
          <w:kern w:val="0"/>
          <w:sz w:val="28"/>
          <w:szCs w:val="28"/>
          <w:shd w:val="clear" w:fill="FFFFFF"/>
          <w:lang w:eastAsia="zh-CN"/>
        </w:rPr>
        <w:t>，</w:t>
      </w:r>
      <w:r>
        <w:rPr>
          <w:rFonts w:hint="default" w:ascii="Times New Roman" w:hAnsi="Times New Roman" w:eastAsia="宋体" w:cs="Times New Roman"/>
          <w:color w:val="auto"/>
          <w:kern w:val="0"/>
          <w:sz w:val="28"/>
          <w:szCs w:val="28"/>
          <w:shd w:val="clear" w:fill="FFFFFF"/>
        </w:rPr>
        <w:t>学院领导主动出任毕业生就业创业导师，在毕业生离校前的就业动员大会上，以亲身经历、经验为案例，对全体毕业生作就业创业教育；专业教师及就业指导教师结合就业岗位要求及就业形势，全力指导毕业生就业；全体教职工在就业指导中心的指导下充分利用自己的社会资源，为毕业生找岗位，竭尽全力帮扶贫困学生就业。</w:t>
      </w:r>
    </w:p>
    <w:p>
      <w:pPr>
        <w:pStyle w:val="3"/>
        <w:spacing w:before="0" w:after="0" w:line="360" w:lineRule="auto"/>
        <w:rPr>
          <w:rFonts w:hint="default" w:ascii="Times New Roman" w:hAnsi="Times New Roman" w:eastAsia="宋体" w:cs="Times New Roman"/>
          <w:color w:val="auto"/>
          <w:sz w:val="28"/>
          <w:szCs w:val="28"/>
        </w:rPr>
      </w:pPr>
      <w:bookmarkStart w:id="55" w:name="_Toc2012"/>
      <w:r>
        <w:rPr>
          <w:rFonts w:hint="default" w:ascii="Times New Roman" w:hAnsi="Times New Roman" w:eastAsia="宋体" w:cs="Times New Roman"/>
          <w:color w:val="auto"/>
          <w:sz w:val="28"/>
          <w:szCs w:val="28"/>
        </w:rPr>
        <w:t>（二）构建完善的职业发展与就业创业教育体系</w:t>
      </w:r>
      <w:bookmarkEnd w:id="55"/>
    </w:p>
    <w:p>
      <w:pPr>
        <w:ind w:left="0" w:right="0" w:firstLine="560"/>
        <w:rPr>
          <w:rFonts w:hint="default" w:ascii="Times New Roman" w:hAnsi="Times New Roman" w:eastAsia="宋体" w:cs="Times New Roman"/>
          <w:sz w:val="28"/>
          <w:szCs w:val="28"/>
        </w:rPr>
      </w:pPr>
      <w:r>
        <w:rPr>
          <w:rFonts w:hint="default" w:ascii="Times New Roman" w:hAnsi="Times New Roman" w:eastAsia="宋体" w:cs="Times New Roman"/>
          <w:color w:val="auto"/>
          <w:kern w:val="0"/>
          <w:sz w:val="28"/>
          <w:szCs w:val="28"/>
          <w:shd w:val="clear" w:fill="FFFFFF"/>
        </w:rPr>
        <w:t>学院成了就业指导教研室，党委副书记田清旺担任教研室主任，就业专干担任办公室主任，辅导员任专职任课教师，各系主任为兼职任课教师。</w:t>
      </w:r>
      <w:r>
        <w:rPr>
          <w:rFonts w:hint="default" w:ascii="Times New Roman" w:hAnsi="Times New Roman" w:eastAsia="宋体" w:cs="Times New Roman"/>
          <w:color w:val="auto"/>
          <w:sz w:val="28"/>
          <w:szCs w:val="28"/>
        </w:rPr>
        <w:t>学院</w:t>
      </w:r>
      <w:r>
        <w:rPr>
          <w:rFonts w:hint="default" w:ascii="Times New Roman" w:hAnsi="Times New Roman" w:eastAsia="宋体" w:cs="Times New Roman"/>
          <w:color w:val="auto"/>
          <w:kern w:val="0"/>
          <w:sz w:val="28"/>
          <w:szCs w:val="28"/>
          <w:shd w:val="clear" w:fill="FFFFFF"/>
        </w:rPr>
        <w:t>注重就业创业师资队伍建设，致力于培育一支专兼结合的师资队伍和创业指导专家团队。20</w:t>
      </w:r>
      <w:r>
        <w:rPr>
          <w:rFonts w:hint="eastAsia" w:ascii="Times New Roman" w:hAnsi="Times New Roman" w:eastAsia="宋体" w:cs="Times New Roman"/>
          <w:color w:val="auto"/>
          <w:kern w:val="0"/>
          <w:sz w:val="28"/>
          <w:szCs w:val="28"/>
          <w:shd w:val="clear" w:fill="FFFFFF"/>
          <w:lang w:val="en-US" w:eastAsia="zh-CN"/>
        </w:rPr>
        <w:t>20</w:t>
      </w:r>
      <w:r>
        <w:rPr>
          <w:rFonts w:hint="default" w:ascii="Times New Roman" w:hAnsi="Times New Roman" w:eastAsia="宋体" w:cs="Times New Roman"/>
          <w:color w:val="auto"/>
          <w:kern w:val="0"/>
          <w:sz w:val="28"/>
          <w:szCs w:val="28"/>
          <w:shd w:val="clear" w:fill="FFFFFF"/>
        </w:rPr>
        <w:t>年，我院就业创业指导老师</w:t>
      </w:r>
      <w:r>
        <w:rPr>
          <w:rFonts w:hint="default" w:ascii="Times New Roman" w:hAnsi="Times New Roman" w:eastAsia="宋体" w:cs="Times New Roman"/>
          <w:color w:val="auto"/>
          <w:kern w:val="0"/>
          <w:sz w:val="28"/>
          <w:szCs w:val="28"/>
          <w:shd w:val="clear" w:fill="FFFFFF"/>
          <w:lang w:val="en-US" w:eastAsia="zh-CN"/>
        </w:rPr>
        <w:t>何剑</w:t>
      </w:r>
      <w:r>
        <w:rPr>
          <w:rFonts w:hint="default" w:ascii="Times New Roman" w:hAnsi="Times New Roman" w:eastAsia="宋体" w:cs="Times New Roman"/>
          <w:color w:val="auto"/>
          <w:kern w:val="0"/>
          <w:sz w:val="28"/>
          <w:szCs w:val="28"/>
          <w:shd w:val="clear" w:fill="FFFFFF"/>
        </w:rPr>
        <w:t>先后前往湘西州</w:t>
      </w:r>
      <w:r>
        <w:rPr>
          <w:rFonts w:hint="default" w:ascii="Times New Roman" w:hAnsi="Times New Roman" w:eastAsia="宋体" w:cs="Times New Roman"/>
          <w:color w:val="auto"/>
          <w:kern w:val="0"/>
          <w:sz w:val="28"/>
          <w:szCs w:val="28"/>
          <w:shd w:val="clear" w:fill="FFFFFF"/>
          <w:lang w:eastAsia="zh-CN"/>
        </w:rPr>
        <w:t>、</w:t>
      </w:r>
      <w:r>
        <w:rPr>
          <w:rFonts w:hint="default" w:ascii="Times New Roman" w:hAnsi="Times New Roman" w:eastAsia="宋体" w:cs="Times New Roman"/>
          <w:color w:val="auto"/>
          <w:kern w:val="0"/>
          <w:sz w:val="28"/>
          <w:szCs w:val="28"/>
          <w:shd w:val="clear" w:fill="FFFFFF"/>
          <w:lang w:val="en-US" w:eastAsia="zh-CN"/>
        </w:rPr>
        <w:t>怀化</w:t>
      </w:r>
      <w:r>
        <w:rPr>
          <w:rFonts w:hint="default" w:ascii="Times New Roman" w:hAnsi="Times New Roman" w:eastAsia="宋体" w:cs="Times New Roman"/>
          <w:color w:val="auto"/>
          <w:kern w:val="0"/>
          <w:sz w:val="28"/>
          <w:szCs w:val="28"/>
          <w:shd w:val="clear" w:fill="FFFFFF"/>
        </w:rPr>
        <w:t>市参加创业指导</w:t>
      </w:r>
      <w:r>
        <w:rPr>
          <w:rFonts w:hint="eastAsia" w:ascii="Times New Roman" w:hAnsi="Times New Roman" w:eastAsia="宋体" w:cs="Times New Roman"/>
          <w:color w:val="auto"/>
          <w:kern w:val="0"/>
          <w:sz w:val="28"/>
          <w:szCs w:val="28"/>
          <w:shd w:val="clear" w:fill="FFFFFF"/>
          <w:lang w:eastAsia="zh-CN"/>
        </w:rPr>
        <w:t>老</w:t>
      </w:r>
      <w:r>
        <w:rPr>
          <w:rFonts w:hint="default" w:ascii="Times New Roman" w:hAnsi="Times New Roman" w:eastAsia="宋体" w:cs="Times New Roman"/>
          <w:color w:val="auto"/>
          <w:kern w:val="0"/>
          <w:sz w:val="28"/>
          <w:szCs w:val="28"/>
          <w:shd w:val="clear" w:fill="FFFFFF"/>
        </w:rPr>
        <w:t>师培训。深入开展创新创业教育，学院面向全体学生开设了《创业基础》、《创业教育》、《大学生创业与人生规划》、《大学生就业中的权益保障》</w:t>
      </w:r>
      <w:r>
        <w:rPr>
          <w:rFonts w:hint="eastAsia" w:ascii="Times New Roman" w:hAnsi="Times New Roman" w:eastAsia="宋体" w:cs="Times New Roman"/>
          <w:color w:val="auto"/>
          <w:kern w:val="0"/>
          <w:sz w:val="28"/>
          <w:szCs w:val="28"/>
          <w:shd w:val="clear" w:fill="FFFFFF"/>
          <w:lang w:eastAsia="zh-CN"/>
        </w:rPr>
        <w:t>、《</w:t>
      </w:r>
      <w:r>
        <w:rPr>
          <w:rFonts w:hint="eastAsia" w:ascii="Times New Roman" w:hAnsi="Times New Roman" w:eastAsia="宋体" w:cs="Times New Roman"/>
          <w:color w:val="auto"/>
          <w:kern w:val="0"/>
          <w:sz w:val="28"/>
          <w:szCs w:val="28"/>
          <w:shd w:val="clear" w:fill="FFFFFF"/>
          <w:lang w:val="en-US" w:eastAsia="zh-CN"/>
        </w:rPr>
        <w:t>SYB创业培训课</w:t>
      </w:r>
      <w:r>
        <w:rPr>
          <w:rFonts w:hint="eastAsia" w:ascii="Times New Roman" w:hAnsi="Times New Roman" w:eastAsia="宋体" w:cs="Times New Roman"/>
          <w:color w:val="auto"/>
          <w:kern w:val="0"/>
          <w:sz w:val="28"/>
          <w:szCs w:val="28"/>
          <w:shd w:val="clear" w:fill="FFFFFF"/>
          <w:lang w:eastAsia="zh-CN"/>
        </w:rPr>
        <w:t>》</w:t>
      </w:r>
      <w:r>
        <w:rPr>
          <w:rFonts w:hint="default" w:ascii="Times New Roman" w:hAnsi="Times New Roman" w:eastAsia="宋体" w:cs="Times New Roman"/>
          <w:color w:val="auto"/>
          <w:kern w:val="0"/>
          <w:sz w:val="28"/>
          <w:szCs w:val="28"/>
          <w:shd w:val="clear" w:fill="FFFFFF"/>
        </w:rPr>
        <w:t>等课程，面向新生开设专业导论课程，帮助学生认识专业特点及将来职业方向，增强学习专业的自觉性，确定努力方向和目标</w:t>
      </w:r>
      <w:r>
        <w:rPr>
          <w:rFonts w:hint="default" w:ascii="Times New Roman" w:hAnsi="Times New Roman" w:eastAsia="宋体" w:cs="Times New Roman"/>
          <w:color w:val="auto"/>
          <w:kern w:val="0"/>
          <w:sz w:val="28"/>
          <w:szCs w:val="28"/>
          <w:shd w:val="clear" w:fill="FFFFFF"/>
          <w:lang w:eastAsia="zh-CN"/>
        </w:rPr>
        <w:t>。</w:t>
      </w:r>
      <w:r>
        <w:rPr>
          <w:rFonts w:hint="default" w:ascii="Times New Roman" w:hAnsi="Times New Roman" w:eastAsia="宋体" w:cs="Times New Roman"/>
          <w:color w:val="auto"/>
          <w:kern w:val="0"/>
          <w:sz w:val="28"/>
          <w:szCs w:val="28"/>
          <w:shd w:val="clear" w:fill="FFFFFF"/>
        </w:rPr>
        <w:t>积极开展大学生创新创业培训，20</w:t>
      </w:r>
      <w:r>
        <w:rPr>
          <w:rFonts w:hint="eastAsia" w:ascii="Times New Roman" w:hAnsi="Times New Roman" w:eastAsia="宋体" w:cs="Times New Roman"/>
          <w:color w:val="auto"/>
          <w:kern w:val="0"/>
          <w:sz w:val="28"/>
          <w:szCs w:val="28"/>
          <w:shd w:val="clear" w:fill="FFFFFF"/>
          <w:lang w:val="en-US" w:eastAsia="zh-CN"/>
        </w:rPr>
        <w:t>20</w:t>
      </w:r>
      <w:r>
        <w:rPr>
          <w:rFonts w:hint="default" w:ascii="Times New Roman" w:hAnsi="Times New Roman" w:eastAsia="宋体" w:cs="Times New Roman"/>
          <w:color w:val="auto"/>
          <w:kern w:val="0"/>
          <w:sz w:val="28"/>
          <w:szCs w:val="28"/>
          <w:shd w:val="clear" w:fill="FFFFFF"/>
        </w:rPr>
        <w:t>年</w:t>
      </w:r>
      <w:r>
        <w:rPr>
          <w:rFonts w:hint="eastAsia" w:ascii="Times New Roman" w:hAnsi="Times New Roman" w:eastAsia="宋体" w:cs="Times New Roman"/>
          <w:color w:val="auto"/>
          <w:kern w:val="0"/>
          <w:sz w:val="28"/>
          <w:szCs w:val="28"/>
          <w:shd w:val="clear" w:fill="FFFFFF"/>
          <w:lang w:val="en-US" w:eastAsia="zh-CN"/>
        </w:rPr>
        <w:t>10月</w:t>
      </w:r>
      <w:r>
        <w:rPr>
          <w:rFonts w:hint="default" w:ascii="Times New Roman" w:hAnsi="Times New Roman" w:eastAsia="宋体" w:cs="Times New Roman"/>
          <w:color w:val="auto"/>
          <w:kern w:val="0"/>
          <w:sz w:val="28"/>
          <w:szCs w:val="28"/>
          <w:shd w:val="clear" w:fill="FFFFFF"/>
        </w:rPr>
        <w:t>，</w:t>
      </w:r>
      <w:r>
        <w:rPr>
          <w:rFonts w:hint="eastAsia" w:ascii="Times New Roman" w:hAnsi="Times New Roman" w:eastAsia="宋体" w:cs="Times New Roman"/>
          <w:color w:val="auto"/>
          <w:kern w:val="0"/>
          <w:sz w:val="28"/>
          <w:szCs w:val="28"/>
          <w:shd w:val="clear" w:fill="FFFFFF"/>
          <w:lang w:eastAsia="zh-CN"/>
        </w:rPr>
        <w:t>在学校的组织下，</w:t>
      </w:r>
      <w:r>
        <w:rPr>
          <w:rFonts w:hint="default" w:ascii="Times New Roman" w:hAnsi="Times New Roman" w:eastAsia="宋体" w:cs="Times New Roman"/>
          <w:color w:val="auto"/>
          <w:kern w:val="0"/>
          <w:sz w:val="28"/>
          <w:szCs w:val="28"/>
          <w:shd w:val="clear" w:fill="FFFFFF"/>
        </w:rPr>
        <w:t>学院开展了</w:t>
      </w:r>
      <w:r>
        <w:rPr>
          <w:rFonts w:hint="eastAsia" w:ascii="Times New Roman" w:hAnsi="Times New Roman" w:eastAsia="宋体" w:cs="Times New Roman"/>
          <w:color w:val="auto"/>
          <w:kern w:val="0"/>
          <w:sz w:val="28"/>
          <w:szCs w:val="28"/>
          <w:shd w:val="clear" w:fill="FFFFFF"/>
          <w:lang w:val="en-US" w:eastAsia="zh-CN"/>
        </w:rPr>
        <w:t>SYB创业</w:t>
      </w:r>
      <w:r>
        <w:rPr>
          <w:rFonts w:hint="default" w:ascii="Times New Roman" w:hAnsi="Times New Roman" w:eastAsia="宋体" w:cs="Times New Roman"/>
          <w:color w:val="auto"/>
          <w:kern w:val="0"/>
          <w:sz w:val="28"/>
          <w:szCs w:val="28"/>
          <w:shd w:val="clear" w:fill="FFFFFF"/>
        </w:rPr>
        <w:t>培训</w:t>
      </w:r>
      <w:r>
        <w:rPr>
          <w:rFonts w:hint="eastAsia" w:ascii="Times New Roman" w:hAnsi="Times New Roman" w:eastAsia="宋体" w:cs="Times New Roman"/>
          <w:color w:val="auto"/>
          <w:kern w:val="0"/>
          <w:sz w:val="28"/>
          <w:szCs w:val="28"/>
          <w:shd w:val="clear" w:fill="FFFFFF"/>
          <w:lang w:eastAsia="zh-CN"/>
        </w:rPr>
        <w:t>班</w:t>
      </w:r>
      <w:r>
        <w:rPr>
          <w:rFonts w:hint="default" w:ascii="Times New Roman" w:hAnsi="Times New Roman" w:eastAsia="宋体" w:cs="Times New Roman"/>
          <w:color w:val="auto"/>
          <w:kern w:val="0"/>
          <w:sz w:val="28"/>
          <w:szCs w:val="28"/>
          <w:shd w:val="clear" w:fill="FFFFFF"/>
        </w:rPr>
        <w:t>，</w:t>
      </w:r>
      <w:r>
        <w:rPr>
          <w:rFonts w:hint="eastAsia" w:ascii="Times New Roman" w:hAnsi="Times New Roman" w:eastAsia="宋体" w:cs="Times New Roman"/>
          <w:color w:val="auto"/>
          <w:kern w:val="0"/>
          <w:sz w:val="28"/>
          <w:szCs w:val="28"/>
          <w:shd w:val="clear" w:fill="FFFFFF"/>
          <w:lang w:eastAsia="zh-CN"/>
        </w:rPr>
        <w:t>增强毕业生</w:t>
      </w:r>
      <w:r>
        <w:rPr>
          <w:rFonts w:hint="default" w:ascii="Times New Roman" w:hAnsi="Times New Roman" w:eastAsia="宋体" w:cs="Times New Roman"/>
          <w:color w:val="auto"/>
          <w:kern w:val="0"/>
          <w:sz w:val="28"/>
          <w:szCs w:val="28"/>
          <w:shd w:val="clear" w:fill="FFFFFF"/>
        </w:rPr>
        <w:t>创新创业意识，大学生创新创业能力逐步提升。</w:t>
      </w:r>
    </w:p>
    <w:p>
      <w:pPr>
        <w:pStyle w:val="3"/>
        <w:spacing w:before="0" w:after="0" w:line="360" w:lineRule="auto"/>
        <w:rPr>
          <w:rFonts w:hint="default" w:ascii="Times New Roman" w:hAnsi="Times New Roman" w:eastAsia="宋体" w:cs="Times New Roman"/>
          <w:color w:val="auto"/>
          <w:sz w:val="28"/>
          <w:szCs w:val="28"/>
        </w:rPr>
      </w:pPr>
      <w:bookmarkStart w:id="56" w:name="_Toc31553"/>
      <w:r>
        <w:rPr>
          <w:rFonts w:hint="default" w:ascii="Times New Roman" w:hAnsi="Times New Roman" w:eastAsia="宋体" w:cs="Times New Roman"/>
          <w:color w:val="auto"/>
          <w:sz w:val="28"/>
          <w:szCs w:val="28"/>
        </w:rPr>
        <w:t>（三）创新人才培养模式</w:t>
      </w:r>
      <w:bookmarkEnd w:id="56"/>
    </w:p>
    <w:p>
      <w:pPr>
        <w:ind w:left="0" w:right="0" w:firstLine="560"/>
        <w:rPr>
          <w:rFonts w:hint="eastAsia" w:ascii="Times New Roman" w:hAnsi="Times New Roman" w:eastAsia="宋体" w:cs="Times New Roman"/>
          <w:color w:val="auto"/>
          <w:kern w:val="0"/>
          <w:sz w:val="28"/>
          <w:szCs w:val="28"/>
          <w:shd w:val="clear" w:fill="FFFFFF"/>
        </w:rPr>
      </w:pPr>
      <w:bookmarkStart w:id="57" w:name="_Toc29587"/>
      <w:r>
        <w:rPr>
          <w:rFonts w:hint="eastAsia" w:ascii="Times New Roman" w:hAnsi="Times New Roman" w:eastAsia="宋体" w:cs="Times New Roman"/>
          <w:color w:val="auto"/>
          <w:kern w:val="0"/>
          <w:sz w:val="28"/>
          <w:szCs w:val="28"/>
          <w:shd w:val="clear" w:fill="FFFFFF"/>
          <w:lang w:eastAsia="zh-CN"/>
        </w:rPr>
        <w:t>为鼓励我院毕业生创新创业，学院建立了</w:t>
      </w:r>
      <w:r>
        <w:rPr>
          <w:rFonts w:hint="eastAsia" w:ascii="Times New Roman" w:hAnsi="Times New Roman" w:eastAsia="宋体" w:cs="Times New Roman"/>
          <w:color w:val="auto"/>
          <w:kern w:val="0"/>
          <w:sz w:val="28"/>
          <w:szCs w:val="28"/>
          <w:shd w:val="clear" w:fill="FFFFFF"/>
        </w:rPr>
        <w:t>湖南省</w:t>
      </w:r>
      <w:r>
        <w:rPr>
          <w:rFonts w:hint="default" w:ascii="Times New Roman" w:hAnsi="Times New Roman" w:eastAsia="宋体" w:cs="Times New Roman"/>
          <w:color w:val="auto"/>
          <w:kern w:val="0"/>
          <w:sz w:val="28"/>
          <w:szCs w:val="28"/>
          <w:shd w:val="clear" w:fill="FFFFFF"/>
        </w:rPr>
        <w:t>电子信息类专业校企合作创新创业教育基地</w:t>
      </w:r>
      <w:r>
        <w:rPr>
          <w:rFonts w:hint="eastAsia" w:ascii="Times New Roman" w:hAnsi="Times New Roman" w:eastAsia="宋体" w:cs="Times New Roman"/>
          <w:color w:val="auto"/>
          <w:kern w:val="0"/>
          <w:sz w:val="28"/>
          <w:szCs w:val="28"/>
          <w:shd w:val="clear" w:fill="FFFFFF"/>
          <w:lang w:eastAsia="zh-CN"/>
        </w:rPr>
        <w:t>，</w:t>
      </w:r>
      <w:r>
        <w:rPr>
          <w:rFonts w:hint="eastAsia" w:ascii="Times New Roman" w:hAnsi="Times New Roman" w:eastAsia="宋体" w:cs="Times New Roman"/>
          <w:color w:val="auto"/>
          <w:kern w:val="0"/>
          <w:sz w:val="28"/>
          <w:szCs w:val="28"/>
          <w:shd w:val="clear" w:fill="FFFFFF"/>
        </w:rPr>
        <w:t>该省级基地着眼于新形势下的专业综合改革和创新创业教育，依托时代达内科技集团等9个校外实习基地，全面深化校企合作，以“大数据技术”、“移动互联技术”、“无线通信网络优化”、“嵌入式与物联网技术”为主要建设方向，力争将基地打造成服务于区域信息化建设与经济转型升级发展的创新性实践型人才培养的摇篮，为区域经济社会发展做出更大的贡献。</w:t>
      </w:r>
    </w:p>
    <w:p>
      <w:pPr>
        <w:ind w:right="0"/>
        <w:rPr>
          <w:rFonts w:hint="default" w:ascii="Times New Roman" w:hAnsi="Times New Roman" w:eastAsia="宋体" w:cs="Times New Roman"/>
          <w:b/>
          <w:bCs/>
          <w:color w:val="auto"/>
          <w:kern w:val="0"/>
          <w:sz w:val="28"/>
          <w:szCs w:val="28"/>
          <w:shd w:val="clear" w:fill="FFFFFF"/>
        </w:rPr>
      </w:pPr>
      <w:r>
        <w:rPr>
          <w:rFonts w:hint="eastAsia" w:ascii="Times New Roman" w:hAnsi="Times New Roman" w:eastAsia="宋体" w:cs="Times New Roman"/>
          <w:b/>
          <w:bCs/>
          <w:color w:val="auto"/>
          <w:kern w:val="0"/>
          <w:sz w:val="28"/>
          <w:szCs w:val="28"/>
          <w:shd w:val="clear" w:fill="FFFFFF"/>
          <w:lang w:eastAsia="zh-CN"/>
        </w:rPr>
        <w:t>（</w:t>
      </w:r>
      <w:r>
        <w:rPr>
          <w:rFonts w:hint="eastAsia" w:ascii="Times New Roman" w:hAnsi="Times New Roman" w:eastAsia="宋体" w:cs="Times New Roman"/>
          <w:b/>
          <w:bCs/>
          <w:color w:val="auto"/>
          <w:kern w:val="0"/>
          <w:sz w:val="28"/>
          <w:szCs w:val="28"/>
          <w:shd w:val="clear" w:fill="FFFFFF"/>
          <w:lang w:val="en-US" w:eastAsia="zh-CN"/>
        </w:rPr>
        <w:t>1</w:t>
      </w:r>
      <w:r>
        <w:rPr>
          <w:rFonts w:hint="eastAsia" w:ascii="Times New Roman" w:hAnsi="Times New Roman" w:eastAsia="宋体" w:cs="Times New Roman"/>
          <w:b/>
          <w:bCs/>
          <w:color w:val="auto"/>
          <w:kern w:val="0"/>
          <w:sz w:val="28"/>
          <w:szCs w:val="28"/>
          <w:shd w:val="clear" w:fill="FFFFFF"/>
          <w:lang w:eastAsia="zh-CN"/>
        </w:rPr>
        <w:t>）</w:t>
      </w:r>
      <w:r>
        <w:rPr>
          <w:rFonts w:hint="default" w:ascii="Times New Roman" w:hAnsi="Times New Roman" w:eastAsia="宋体" w:cs="Times New Roman"/>
          <w:b/>
          <w:bCs/>
          <w:color w:val="auto"/>
          <w:kern w:val="0"/>
          <w:sz w:val="28"/>
          <w:szCs w:val="28"/>
          <w:shd w:val="clear" w:fill="FFFFFF"/>
        </w:rPr>
        <w:t>电子科技创新与竞赛工作室</w:t>
      </w:r>
    </w:p>
    <w:p>
      <w:pPr>
        <w:ind w:left="0" w:right="0" w:firstLine="560"/>
        <w:rPr>
          <w:rFonts w:hint="eastAsia" w:ascii="Times New Roman" w:hAnsi="Times New Roman" w:eastAsia="宋体" w:cs="Times New Roman"/>
          <w:color w:val="auto"/>
          <w:kern w:val="0"/>
          <w:sz w:val="28"/>
          <w:szCs w:val="28"/>
          <w:shd w:val="clear" w:fill="FFFFFF"/>
        </w:rPr>
      </w:pPr>
      <w:r>
        <w:rPr>
          <w:rFonts w:hint="eastAsia" w:ascii="Times New Roman" w:hAnsi="Times New Roman" w:eastAsia="宋体" w:cs="Times New Roman"/>
          <w:color w:val="auto"/>
          <w:kern w:val="0"/>
          <w:sz w:val="28"/>
          <w:szCs w:val="28"/>
          <w:shd w:val="clear" w:fill="FFFFFF"/>
        </w:rPr>
        <w:t>该工作室于2005年立项建设，其主要功能是为学生进行电子电工实训、学科竞赛、创新设计、课程设计和毕业设计等提供服务；其主要目的是为培养学生工程实践能力、提高学生工程素养、增强学生创新意识；从而使学生在社会适应能力和竞争力方面打下坚实的基础，真正实现“新工科”人才培养目标。同时依托电子电工基地成立了电子科技创新与竞赛工作室，工作室是根据高等学校人才培养目标和社会对高素质、创新性人才的实际需求而创建的一个全新的学生学习实践场所，可有效促进我校大学生科技创新实践活动与学科竞赛蓬勃开展。</w:t>
      </w:r>
    </w:p>
    <w:p>
      <w:pPr>
        <w:ind w:left="0" w:right="0" w:firstLine="560"/>
        <w:rPr>
          <w:rFonts w:hint="eastAsia" w:ascii="Times New Roman" w:hAnsi="Times New Roman" w:eastAsia="宋体" w:cs="Times New Roman"/>
          <w:color w:val="auto"/>
          <w:kern w:val="0"/>
          <w:sz w:val="28"/>
          <w:szCs w:val="28"/>
          <w:shd w:val="clear" w:fill="FFFFFF"/>
        </w:rPr>
      </w:pPr>
      <w:r>
        <w:rPr>
          <w:rFonts w:hint="eastAsia" w:ascii="Times New Roman" w:hAnsi="Times New Roman" w:eastAsia="宋体" w:cs="Times New Roman"/>
          <w:color w:val="auto"/>
          <w:kern w:val="0"/>
          <w:sz w:val="28"/>
          <w:szCs w:val="28"/>
          <w:shd w:val="clear" w:fill="FFFFFF"/>
        </w:rPr>
        <w:t>目前</w:t>
      </w:r>
      <w:r>
        <w:rPr>
          <w:rFonts w:hint="eastAsia" w:ascii="Times New Roman" w:hAnsi="Times New Roman" w:eastAsia="宋体" w:cs="Times New Roman"/>
          <w:color w:val="auto"/>
          <w:kern w:val="0"/>
          <w:sz w:val="28"/>
          <w:szCs w:val="28"/>
          <w:shd w:val="clear" w:fill="FFFFFF"/>
          <w:lang w:val="en-US" w:eastAsia="zh-CN"/>
        </w:rPr>
        <w:t>工作室</w:t>
      </w:r>
      <w:r>
        <w:rPr>
          <w:rFonts w:hint="eastAsia" w:ascii="Times New Roman" w:hAnsi="Times New Roman" w:eastAsia="宋体" w:cs="Times New Roman"/>
          <w:color w:val="auto"/>
          <w:kern w:val="0"/>
          <w:sz w:val="28"/>
          <w:szCs w:val="28"/>
          <w:shd w:val="clear" w:fill="FFFFFF"/>
        </w:rPr>
        <w:t>分为电子工艺实训分室、PCB制版实训分室、嵌入式物联网实训分室、智能车实训分室，四旋翼实训分室和多媒体教室6个实训分室，可同时容纳100人进行实训实践。</w:t>
      </w:r>
      <w:r>
        <w:rPr>
          <w:rFonts w:hint="eastAsia" w:ascii="Times New Roman" w:hAnsi="Times New Roman" w:eastAsia="宋体" w:cs="Times New Roman"/>
          <w:color w:val="auto"/>
          <w:kern w:val="0"/>
          <w:sz w:val="28"/>
          <w:szCs w:val="28"/>
          <w:shd w:val="clear" w:fill="FFFFFF"/>
          <w:lang w:val="en-US" w:eastAsia="zh-CN"/>
        </w:rPr>
        <w:t>工作室</w:t>
      </w:r>
      <w:r>
        <w:rPr>
          <w:rFonts w:hint="eastAsia" w:ascii="Times New Roman" w:hAnsi="Times New Roman" w:eastAsia="宋体" w:cs="Times New Roman"/>
          <w:color w:val="auto"/>
          <w:kern w:val="0"/>
          <w:sz w:val="28"/>
          <w:szCs w:val="28"/>
          <w:shd w:val="clear" w:fill="FFFFFF"/>
        </w:rPr>
        <w:t>配备了DSP图像处理实验设备、ARM嵌入式实验开发系统、SOPC实验开发系统、频谱分析仪、超高频毫伏表、SMT表面贴装系统、波峰焊接机、双面电路雕刻机、高频信号发生器、ZigBee物联网实验开发系统、单片机实验开发系统、GPS定位实验装置等先进仪器设备，共计200余台套，总价值200余万元。</w:t>
      </w:r>
      <w:r>
        <w:rPr>
          <w:rFonts w:hint="eastAsia" w:ascii="Times New Roman" w:hAnsi="Times New Roman" w:eastAsia="宋体" w:cs="Times New Roman"/>
          <w:color w:val="auto"/>
          <w:kern w:val="0"/>
          <w:sz w:val="28"/>
          <w:szCs w:val="28"/>
          <w:shd w:val="clear" w:fill="FFFFFF"/>
          <w:lang w:val="en-US" w:eastAsia="zh-CN"/>
        </w:rPr>
        <w:t>工作室</w:t>
      </w:r>
      <w:r>
        <w:rPr>
          <w:rFonts w:hint="eastAsia" w:ascii="Times New Roman" w:hAnsi="Times New Roman" w:eastAsia="宋体" w:cs="Times New Roman"/>
          <w:color w:val="auto"/>
          <w:kern w:val="0"/>
          <w:sz w:val="28"/>
          <w:szCs w:val="28"/>
          <w:shd w:val="clear" w:fill="FFFFFF"/>
        </w:rPr>
        <w:t>现有专职教师4人，兼职教师8人。</w:t>
      </w:r>
    </w:p>
    <w:p>
      <w:pPr>
        <w:ind w:left="0" w:right="0" w:firstLine="560"/>
        <w:rPr>
          <w:rFonts w:hint="eastAsia" w:ascii="Times New Roman" w:hAnsi="Times New Roman" w:eastAsia="宋体" w:cs="Times New Roman"/>
          <w:color w:val="auto"/>
          <w:kern w:val="0"/>
          <w:sz w:val="28"/>
          <w:szCs w:val="28"/>
          <w:shd w:val="clear" w:fill="FFFFFF"/>
        </w:rPr>
      </w:pPr>
      <w:r>
        <w:rPr>
          <w:rFonts w:hint="eastAsia" w:ascii="Times New Roman" w:hAnsi="Times New Roman" w:eastAsia="宋体" w:cs="Times New Roman"/>
          <w:color w:val="auto"/>
          <w:kern w:val="0"/>
          <w:sz w:val="28"/>
          <w:szCs w:val="28"/>
          <w:shd w:val="clear" w:fill="FFFFFF"/>
          <w:lang w:val="en-US" w:eastAsia="zh-CN"/>
        </w:rPr>
        <w:t>工作室</w:t>
      </w:r>
      <w:r>
        <w:rPr>
          <w:rFonts w:hint="eastAsia" w:ascii="Times New Roman" w:hAnsi="Times New Roman" w:eastAsia="宋体" w:cs="Times New Roman"/>
          <w:color w:val="auto"/>
          <w:kern w:val="0"/>
          <w:sz w:val="28"/>
          <w:szCs w:val="28"/>
          <w:shd w:val="clear" w:fill="FFFFFF"/>
        </w:rPr>
        <w:t>近年来在学生培养方面成果显著：参加全国大学生挑战杯创业大赛获国家级铜奖一项，湖南省金奖1项，银奖1项；参加全国大学生电子设计大赛全国二等奖1项，湖南省一等奖2项，二等奖3项；参加湖南省程序设计大赛应用作品赛获湖南省一等奖1项，二等奖1项；参加全国大学生嵌入式大赛获全国二等奖1项，省特等奖1项，一等奖1项。</w:t>
      </w:r>
    </w:p>
    <w:p>
      <w:pPr>
        <w:ind w:right="0"/>
        <w:rPr>
          <w:rFonts w:hint="default" w:ascii="Times New Roman" w:hAnsi="Times New Roman" w:eastAsia="宋体" w:cs="Times New Roman"/>
          <w:b/>
          <w:bCs/>
          <w:color w:val="auto"/>
          <w:kern w:val="0"/>
          <w:sz w:val="28"/>
          <w:szCs w:val="28"/>
          <w:shd w:val="clear" w:fill="FFFFFF"/>
        </w:rPr>
      </w:pPr>
      <w:r>
        <w:rPr>
          <w:rFonts w:hint="eastAsia" w:ascii="Times New Roman" w:hAnsi="Times New Roman" w:eastAsia="宋体" w:cs="Times New Roman"/>
          <w:b/>
          <w:bCs/>
          <w:color w:val="auto"/>
          <w:kern w:val="0"/>
          <w:sz w:val="28"/>
          <w:szCs w:val="28"/>
          <w:shd w:val="clear" w:fill="FFFFFF"/>
          <w:lang w:eastAsia="zh-CN"/>
        </w:rPr>
        <w:t>（</w:t>
      </w:r>
      <w:r>
        <w:rPr>
          <w:rFonts w:hint="eastAsia" w:ascii="Times New Roman" w:hAnsi="Times New Roman" w:eastAsia="宋体" w:cs="Times New Roman"/>
          <w:b/>
          <w:bCs/>
          <w:color w:val="auto"/>
          <w:kern w:val="0"/>
          <w:sz w:val="28"/>
          <w:szCs w:val="28"/>
          <w:shd w:val="clear" w:fill="FFFFFF"/>
          <w:lang w:val="en-US" w:eastAsia="zh-CN"/>
        </w:rPr>
        <w:t>2</w:t>
      </w:r>
      <w:r>
        <w:rPr>
          <w:rFonts w:hint="eastAsia" w:ascii="Times New Roman" w:hAnsi="Times New Roman" w:eastAsia="宋体" w:cs="Times New Roman"/>
          <w:b/>
          <w:bCs/>
          <w:color w:val="auto"/>
          <w:kern w:val="0"/>
          <w:sz w:val="28"/>
          <w:szCs w:val="28"/>
          <w:shd w:val="clear" w:fill="FFFFFF"/>
          <w:lang w:eastAsia="zh-CN"/>
        </w:rPr>
        <w:t>）</w:t>
      </w:r>
      <w:r>
        <w:rPr>
          <w:rFonts w:hint="default" w:ascii="Times New Roman" w:hAnsi="Times New Roman" w:eastAsia="宋体" w:cs="Times New Roman"/>
          <w:b/>
          <w:bCs/>
          <w:color w:val="auto"/>
          <w:kern w:val="0"/>
          <w:sz w:val="28"/>
          <w:szCs w:val="28"/>
          <w:shd w:val="clear" w:fill="FFFFFF"/>
        </w:rPr>
        <w:t>软件开发与应用创新工作室</w:t>
      </w:r>
    </w:p>
    <w:p>
      <w:pPr>
        <w:ind w:left="0" w:right="0" w:firstLine="560"/>
        <w:rPr>
          <w:rFonts w:hint="default" w:ascii="Times New Roman" w:hAnsi="Times New Roman" w:eastAsia="宋体" w:cs="Times New Roman"/>
          <w:color w:val="auto"/>
          <w:kern w:val="0"/>
          <w:sz w:val="28"/>
          <w:szCs w:val="28"/>
          <w:shd w:val="clear" w:fill="FFFFFF"/>
        </w:rPr>
      </w:pPr>
      <w:r>
        <w:rPr>
          <w:rFonts w:hint="eastAsia" w:ascii="Times New Roman" w:hAnsi="Times New Roman" w:eastAsia="宋体" w:cs="Times New Roman"/>
          <w:color w:val="auto"/>
          <w:kern w:val="0"/>
          <w:sz w:val="28"/>
          <w:szCs w:val="28"/>
          <w:shd w:val="clear" w:fill="FFFFFF"/>
        </w:rPr>
        <w:t>该工作室是由吉首大学大学生科技实践创新中心批准，完全依托信息科学与工程学院建设的一个全新的大学生进行程序设计和软件开发实践的场所。工作室主要承担程序设计和软件开发类学科竞赛的训练和指导，旨在培养大学生的创新意识与创新能力，提高大学生的科学素养与科学研究水平。</w:t>
      </w:r>
      <w:r>
        <w:rPr>
          <w:rFonts w:hint="eastAsia" w:ascii="Times New Roman" w:hAnsi="Times New Roman" w:eastAsia="宋体" w:cs="Times New Roman"/>
          <w:color w:val="auto"/>
          <w:kern w:val="0"/>
          <w:sz w:val="28"/>
          <w:szCs w:val="28"/>
          <w:shd w:val="clear" w:fill="FFFFFF"/>
          <w:lang w:val="en-US" w:eastAsia="zh-CN"/>
        </w:rPr>
        <w:t>近5年</w:t>
      </w:r>
      <w:r>
        <w:rPr>
          <w:rFonts w:hint="eastAsia" w:ascii="Times New Roman" w:hAnsi="Times New Roman" w:eastAsia="宋体" w:cs="Times New Roman"/>
          <w:color w:val="auto"/>
          <w:kern w:val="0"/>
          <w:sz w:val="28"/>
          <w:szCs w:val="28"/>
          <w:shd w:val="clear" w:fill="FFFFFF"/>
        </w:rPr>
        <w:t>来，</w:t>
      </w:r>
      <w:r>
        <w:rPr>
          <w:rFonts w:hint="eastAsia" w:ascii="Times New Roman" w:hAnsi="Times New Roman" w:eastAsia="宋体" w:cs="Times New Roman"/>
          <w:color w:val="auto"/>
          <w:kern w:val="0"/>
          <w:sz w:val="28"/>
          <w:szCs w:val="28"/>
          <w:shd w:val="clear" w:fill="FFFFFF"/>
          <w:lang w:val="en-US" w:eastAsia="zh-CN"/>
        </w:rPr>
        <w:t>工作室学生参加各类学科竞赛</w:t>
      </w:r>
      <w:r>
        <w:rPr>
          <w:rFonts w:hint="eastAsia" w:ascii="Times New Roman" w:hAnsi="Times New Roman" w:eastAsia="宋体" w:cs="Times New Roman"/>
          <w:color w:val="auto"/>
          <w:kern w:val="0"/>
          <w:sz w:val="28"/>
          <w:szCs w:val="28"/>
          <w:shd w:val="clear" w:fill="FFFFFF"/>
        </w:rPr>
        <w:t>获得国家级特等奖</w:t>
      </w:r>
      <w:r>
        <w:rPr>
          <w:rFonts w:hint="eastAsia" w:ascii="Times New Roman" w:hAnsi="Times New Roman" w:eastAsia="宋体" w:cs="Times New Roman"/>
          <w:color w:val="auto"/>
          <w:kern w:val="0"/>
          <w:sz w:val="28"/>
          <w:szCs w:val="28"/>
          <w:shd w:val="clear" w:fill="FFFFFF"/>
          <w:lang w:val="en-US" w:eastAsia="zh-CN"/>
        </w:rPr>
        <w:t>2项、</w:t>
      </w:r>
      <w:r>
        <w:rPr>
          <w:rFonts w:hint="eastAsia" w:ascii="Times New Roman" w:hAnsi="Times New Roman" w:eastAsia="宋体" w:cs="Times New Roman"/>
          <w:color w:val="auto"/>
          <w:kern w:val="0"/>
          <w:sz w:val="28"/>
          <w:szCs w:val="28"/>
          <w:shd w:val="clear" w:fill="FFFFFF"/>
        </w:rPr>
        <w:t>一等奖</w:t>
      </w:r>
      <w:r>
        <w:rPr>
          <w:rFonts w:hint="eastAsia" w:ascii="Times New Roman" w:hAnsi="Times New Roman" w:eastAsia="宋体" w:cs="Times New Roman"/>
          <w:color w:val="auto"/>
          <w:kern w:val="0"/>
          <w:sz w:val="28"/>
          <w:szCs w:val="28"/>
          <w:shd w:val="clear" w:fill="FFFFFF"/>
          <w:lang w:val="en-US" w:eastAsia="zh-CN"/>
        </w:rPr>
        <w:t>8</w:t>
      </w:r>
      <w:r>
        <w:rPr>
          <w:rFonts w:hint="eastAsia" w:ascii="Times New Roman" w:hAnsi="Times New Roman" w:eastAsia="宋体" w:cs="Times New Roman"/>
          <w:color w:val="auto"/>
          <w:kern w:val="0"/>
          <w:sz w:val="28"/>
          <w:szCs w:val="28"/>
          <w:shd w:val="clear" w:fill="FFFFFF"/>
        </w:rPr>
        <w:t>项、二等奖1</w:t>
      </w:r>
      <w:r>
        <w:rPr>
          <w:rFonts w:hint="eastAsia" w:ascii="Times New Roman" w:hAnsi="Times New Roman" w:eastAsia="宋体" w:cs="Times New Roman"/>
          <w:color w:val="auto"/>
          <w:kern w:val="0"/>
          <w:sz w:val="28"/>
          <w:szCs w:val="28"/>
          <w:shd w:val="clear" w:fill="FFFFFF"/>
          <w:lang w:val="en-US" w:eastAsia="zh-CN"/>
        </w:rPr>
        <w:t>6</w:t>
      </w:r>
      <w:r>
        <w:rPr>
          <w:rFonts w:hint="eastAsia" w:ascii="Times New Roman" w:hAnsi="Times New Roman" w:eastAsia="宋体" w:cs="Times New Roman"/>
          <w:color w:val="auto"/>
          <w:kern w:val="0"/>
          <w:sz w:val="28"/>
          <w:szCs w:val="28"/>
          <w:shd w:val="clear" w:fill="FFFFFF"/>
        </w:rPr>
        <w:t>项、三等奖</w:t>
      </w:r>
      <w:r>
        <w:rPr>
          <w:rFonts w:hint="eastAsia" w:ascii="Times New Roman" w:hAnsi="Times New Roman" w:eastAsia="宋体" w:cs="Times New Roman"/>
          <w:color w:val="auto"/>
          <w:kern w:val="0"/>
          <w:sz w:val="28"/>
          <w:szCs w:val="28"/>
          <w:shd w:val="clear" w:fill="FFFFFF"/>
          <w:lang w:val="en-US" w:eastAsia="zh-CN"/>
        </w:rPr>
        <w:t>37</w:t>
      </w:r>
      <w:r>
        <w:rPr>
          <w:rFonts w:hint="eastAsia" w:ascii="Times New Roman" w:hAnsi="Times New Roman" w:eastAsia="宋体" w:cs="Times New Roman"/>
          <w:color w:val="auto"/>
          <w:kern w:val="0"/>
          <w:sz w:val="28"/>
          <w:szCs w:val="28"/>
          <w:shd w:val="clear" w:fill="FFFFFF"/>
        </w:rPr>
        <w:t>项；国家银奖1项、铜奖</w:t>
      </w:r>
      <w:r>
        <w:rPr>
          <w:rFonts w:hint="eastAsia" w:ascii="Times New Roman" w:hAnsi="Times New Roman" w:eastAsia="宋体" w:cs="Times New Roman"/>
          <w:color w:val="auto"/>
          <w:kern w:val="0"/>
          <w:sz w:val="28"/>
          <w:szCs w:val="28"/>
          <w:shd w:val="clear" w:fill="FFFFFF"/>
          <w:lang w:val="en-US" w:eastAsia="zh-CN"/>
        </w:rPr>
        <w:t>12</w:t>
      </w:r>
      <w:r>
        <w:rPr>
          <w:rFonts w:hint="eastAsia" w:ascii="Times New Roman" w:hAnsi="Times New Roman" w:eastAsia="宋体" w:cs="Times New Roman"/>
          <w:color w:val="auto"/>
          <w:kern w:val="0"/>
          <w:sz w:val="28"/>
          <w:szCs w:val="28"/>
          <w:shd w:val="clear" w:fill="FFFFFF"/>
        </w:rPr>
        <w:t>项、优胜奖7项；省级一等奖</w:t>
      </w:r>
      <w:r>
        <w:rPr>
          <w:rFonts w:hint="eastAsia" w:ascii="Times New Roman" w:hAnsi="Times New Roman" w:eastAsia="宋体" w:cs="Times New Roman"/>
          <w:color w:val="auto"/>
          <w:kern w:val="0"/>
          <w:sz w:val="28"/>
          <w:szCs w:val="28"/>
          <w:shd w:val="clear" w:fill="FFFFFF"/>
          <w:lang w:val="en-US" w:eastAsia="zh-CN"/>
        </w:rPr>
        <w:t>32</w:t>
      </w:r>
      <w:r>
        <w:rPr>
          <w:rFonts w:hint="eastAsia" w:ascii="Times New Roman" w:hAnsi="Times New Roman" w:eastAsia="宋体" w:cs="Times New Roman"/>
          <w:color w:val="auto"/>
          <w:kern w:val="0"/>
          <w:sz w:val="28"/>
          <w:szCs w:val="28"/>
          <w:shd w:val="clear" w:fill="FFFFFF"/>
        </w:rPr>
        <w:t>项、二等奖2</w:t>
      </w:r>
      <w:r>
        <w:rPr>
          <w:rFonts w:hint="eastAsia" w:ascii="Times New Roman" w:hAnsi="Times New Roman" w:eastAsia="宋体" w:cs="Times New Roman"/>
          <w:color w:val="auto"/>
          <w:kern w:val="0"/>
          <w:sz w:val="28"/>
          <w:szCs w:val="28"/>
          <w:shd w:val="clear" w:fill="FFFFFF"/>
          <w:lang w:val="en-US" w:eastAsia="zh-CN"/>
        </w:rPr>
        <w:t>8</w:t>
      </w:r>
      <w:r>
        <w:rPr>
          <w:rFonts w:hint="eastAsia" w:ascii="Times New Roman" w:hAnsi="Times New Roman" w:eastAsia="宋体" w:cs="Times New Roman"/>
          <w:color w:val="auto"/>
          <w:kern w:val="0"/>
          <w:sz w:val="28"/>
          <w:szCs w:val="28"/>
          <w:shd w:val="clear" w:fill="FFFFFF"/>
        </w:rPr>
        <w:t>项、三等奖</w:t>
      </w:r>
      <w:r>
        <w:rPr>
          <w:rFonts w:hint="eastAsia" w:ascii="Times New Roman" w:hAnsi="Times New Roman" w:eastAsia="宋体" w:cs="Times New Roman"/>
          <w:color w:val="auto"/>
          <w:kern w:val="0"/>
          <w:sz w:val="28"/>
          <w:szCs w:val="28"/>
          <w:shd w:val="clear" w:fill="FFFFFF"/>
          <w:lang w:val="en-US" w:eastAsia="zh-CN"/>
        </w:rPr>
        <w:t>65</w:t>
      </w:r>
      <w:r>
        <w:rPr>
          <w:rFonts w:hint="eastAsia" w:ascii="Times New Roman" w:hAnsi="Times New Roman" w:eastAsia="宋体" w:cs="Times New Roman"/>
          <w:color w:val="auto"/>
          <w:kern w:val="0"/>
          <w:sz w:val="28"/>
          <w:szCs w:val="28"/>
          <w:shd w:val="clear" w:fill="FFFFFF"/>
        </w:rPr>
        <w:t>项。工作室连续3年荣获“吉首大学优秀工作室”称号。</w:t>
      </w:r>
    </w:p>
    <w:p>
      <w:pPr>
        <w:ind w:right="0"/>
        <w:rPr>
          <w:rFonts w:hint="default" w:ascii="Times New Roman" w:hAnsi="Times New Roman" w:eastAsia="宋体" w:cs="Times New Roman"/>
          <w:b/>
          <w:bCs/>
          <w:color w:val="auto"/>
          <w:kern w:val="0"/>
          <w:sz w:val="28"/>
          <w:szCs w:val="28"/>
          <w:shd w:val="clear" w:fill="FFFFFF"/>
        </w:rPr>
      </w:pPr>
      <w:r>
        <w:rPr>
          <w:rFonts w:hint="eastAsia" w:ascii="Times New Roman" w:hAnsi="Times New Roman" w:eastAsia="宋体" w:cs="Times New Roman"/>
          <w:b/>
          <w:bCs/>
          <w:color w:val="auto"/>
          <w:kern w:val="0"/>
          <w:sz w:val="28"/>
          <w:szCs w:val="28"/>
          <w:shd w:val="clear" w:fill="FFFFFF"/>
          <w:lang w:eastAsia="zh-CN"/>
        </w:rPr>
        <w:t>（</w:t>
      </w:r>
      <w:r>
        <w:rPr>
          <w:rFonts w:hint="eastAsia" w:ascii="Times New Roman" w:hAnsi="Times New Roman" w:eastAsia="宋体" w:cs="Times New Roman"/>
          <w:b/>
          <w:bCs/>
          <w:color w:val="auto"/>
          <w:kern w:val="0"/>
          <w:sz w:val="28"/>
          <w:szCs w:val="28"/>
          <w:shd w:val="clear" w:fill="FFFFFF"/>
          <w:lang w:val="en-US" w:eastAsia="zh-CN"/>
        </w:rPr>
        <w:t>3</w:t>
      </w:r>
      <w:r>
        <w:rPr>
          <w:rFonts w:hint="eastAsia" w:ascii="Times New Roman" w:hAnsi="Times New Roman" w:eastAsia="宋体" w:cs="Times New Roman"/>
          <w:b/>
          <w:bCs/>
          <w:color w:val="auto"/>
          <w:kern w:val="0"/>
          <w:sz w:val="28"/>
          <w:szCs w:val="28"/>
          <w:shd w:val="clear" w:fill="FFFFFF"/>
          <w:lang w:eastAsia="zh-CN"/>
        </w:rPr>
        <w:t>）</w:t>
      </w:r>
      <w:r>
        <w:rPr>
          <w:rFonts w:hint="eastAsia" w:ascii="Times New Roman" w:hAnsi="Times New Roman" w:eastAsia="宋体" w:cs="Times New Roman"/>
          <w:b/>
          <w:bCs/>
          <w:color w:val="auto"/>
          <w:kern w:val="0"/>
          <w:sz w:val="28"/>
          <w:szCs w:val="28"/>
          <w:shd w:val="clear" w:fill="FFFFFF"/>
        </w:rPr>
        <w:t>湖南省锰锌钒产业技术协同创新中心本科生教改实验班</w:t>
      </w:r>
    </w:p>
    <w:p>
      <w:pPr>
        <w:ind w:left="0" w:right="0" w:firstLine="560"/>
        <w:rPr>
          <w:rFonts w:hint="default" w:ascii="Times New Roman" w:hAnsi="Times New Roman" w:eastAsia="宋体" w:cs="Times New Roman"/>
          <w:color w:val="auto"/>
          <w:kern w:val="0"/>
          <w:sz w:val="28"/>
          <w:szCs w:val="28"/>
          <w:shd w:val="clear" w:fill="FFFFFF"/>
        </w:rPr>
      </w:pPr>
      <w:r>
        <w:rPr>
          <w:rFonts w:hint="eastAsia" w:ascii="Times New Roman" w:hAnsi="Times New Roman" w:eastAsia="宋体" w:cs="Times New Roman"/>
          <w:color w:val="auto"/>
          <w:kern w:val="0"/>
          <w:sz w:val="28"/>
          <w:szCs w:val="28"/>
          <w:shd w:val="clear" w:fill="FFFFFF"/>
        </w:rPr>
        <w:t>该实验班依托省级协同中心在“锰锌钒产业设备及生产自动化”等领域设立跨专业和跨学科的本科教学试验班。该方向学生来源于我院的电子信息工程、通信工程、电气工程及其自动化、计算机科学与技术。学生从大二或三开始接受相关领域专家的授课，并参与相关领域的科学研究。目前，我院学生已经参与完成了“锰电解过程自动化控制系统”，“在线快速高精度锰离子浓度检测仪开发”，“基于图像处理的锰电解过程阴极板的自动识别”的研制工作，实现了对电解槽温度、pH值和锰液补充参数实时保存、数据分析、自动和远程控制，实现了在线检测锰离子浓度，以及实现了对电解过程中阴极板的正常使用的判断。</w:t>
      </w:r>
    </w:p>
    <w:p>
      <w:pPr>
        <w:pStyle w:val="3"/>
        <w:spacing w:before="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（四）积极开拓就业市场</w:t>
      </w:r>
      <w:bookmarkEnd w:id="57"/>
    </w:p>
    <w:p>
      <w:pPr>
        <w:ind w:left="0" w:righ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kern w:val="0"/>
          <w:sz w:val="28"/>
          <w:szCs w:val="28"/>
          <w:shd w:val="clear" w:fill="FFFFFF"/>
        </w:rPr>
        <w:t>20</w:t>
      </w:r>
      <w:r>
        <w:rPr>
          <w:rFonts w:hint="eastAsia" w:ascii="Times New Roman" w:hAnsi="Times New Roman" w:eastAsia="宋体" w:cs="Times New Roman"/>
          <w:color w:val="auto"/>
          <w:kern w:val="0"/>
          <w:sz w:val="28"/>
          <w:szCs w:val="28"/>
          <w:shd w:val="clear" w:fill="FFFFFF"/>
          <w:lang w:val="en-US" w:eastAsia="zh-CN"/>
        </w:rPr>
        <w:t>20</w:t>
      </w:r>
      <w:r>
        <w:rPr>
          <w:rFonts w:hint="default" w:ascii="Times New Roman" w:hAnsi="Times New Roman" w:eastAsia="宋体" w:cs="Times New Roman"/>
          <w:color w:val="auto"/>
          <w:kern w:val="0"/>
          <w:sz w:val="28"/>
          <w:szCs w:val="28"/>
          <w:shd w:val="clear" w:fill="FFFFFF"/>
        </w:rPr>
        <w:t>年，在稳定原有市场的基础上，积极拓宽就业新市场。</w:t>
      </w:r>
      <w:r>
        <w:rPr>
          <w:rFonts w:hint="eastAsia" w:ascii="Times New Roman" w:hAnsi="Times New Roman" w:eastAsia="宋体" w:cs="Times New Roman"/>
          <w:color w:val="auto"/>
          <w:kern w:val="0"/>
          <w:sz w:val="28"/>
          <w:szCs w:val="28"/>
          <w:shd w:val="clear" w:fill="FFFFFF"/>
          <w:lang w:eastAsia="zh-CN"/>
        </w:rPr>
        <w:t>一是</w:t>
      </w:r>
      <w:r>
        <w:rPr>
          <w:rFonts w:hint="eastAsia" w:ascii="Times New Roman" w:hAnsi="Times New Roman" w:eastAsia="宋体" w:cs="Times New Roman"/>
          <w:color w:val="auto"/>
          <w:kern w:val="0"/>
          <w:sz w:val="28"/>
          <w:szCs w:val="28"/>
          <w:shd w:val="clear" w:fill="FFFFFF"/>
        </w:rPr>
        <w:t>学院构建 “校企合作、定向培养”的人才培养模式，建立了固定的实习、就业基地，</w:t>
      </w:r>
      <w:r>
        <w:rPr>
          <w:rFonts w:hint="eastAsia" w:ascii="Times New Roman" w:hAnsi="Times New Roman" w:eastAsia="宋体" w:cs="Times New Roman"/>
          <w:color w:val="auto"/>
          <w:kern w:val="0"/>
          <w:sz w:val="28"/>
          <w:szCs w:val="28"/>
          <w:shd w:val="clear" w:fill="FFFFFF"/>
          <w:lang w:val="en-US" w:eastAsia="zh-CN"/>
        </w:rPr>
        <w:t>2020</w:t>
      </w:r>
      <w:r>
        <w:rPr>
          <w:rFonts w:hint="eastAsia" w:ascii="Times New Roman" w:hAnsi="Times New Roman" w:eastAsia="宋体" w:cs="Times New Roman"/>
          <w:color w:val="auto"/>
          <w:kern w:val="0"/>
          <w:sz w:val="28"/>
          <w:szCs w:val="28"/>
          <w:shd w:val="clear" w:fill="FFFFFF"/>
        </w:rPr>
        <w:t>年海南创讯技术有限公司、北京千锋教育科技有限公司、深圳信盈达电子有限公司、湖南云狐教育科技有限公司、达内教育等13家校外实习基地签约；</w:t>
      </w:r>
      <w:r>
        <w:rPr>
          <w:rFonts w:hint="default" w:ascii="Times New Roman" w:hAnsi="Times New Roman" w:eastAsia="宋体" w:cs="Times New Roman"/>
          <w:color w:val="auto"/>
          <w:kern w:val="0"/>
          <w:sz w:val="28"/>
          <w:szCs w:val="28"/>
          <w:shd w:val="clear" w:fill="FFFFFF"/>
        </w:rPr>
        <w:t>二是对在校生、毕业生及用人单位开展调查走访，先后组织4批8人次赴</w:t>
      </w:r>
      <w:r>
        <w:rPr>
          <w:rFonts w:hint="eastAsia" w:ascii="Times New Roman" w:hAnsi="Times New Roman" w:eastAsia="宋体" w:cs="Times New Roman"/>
          <w:color w:val="auto"/>
          <w:kern w:val="0"/>
          <w:sz w:val="28"/>
          <w:szCs w:val="28"/>
          <w:shd w:val="clear" w:fill="FFFFFF"/>
          <w:lang w:eastAsia="zh-CN"/>
        </w:rPr>
        <w:t>湖南、四川、广东、海南</w:t>
      </w:r>
      <w:r>
        <w:rPr>
          <w:rFonts w:hint="default" w:ascii="Times New Roman" w:hAnsi="Times New Roman" w:eastAsia="宋体" w:cs="Times New Roman"/>
          <w:color w:val="auto"/>
          <w:kern w:val="0"/>
          <w:sz w:val="28"/>
          <w:szCs w:val="28"/>
          <w:shd w:val="clear" w:fill="FFFFFF"/>
        </w:rPr>
        <w:t>等地走访校友、考察企事业单位和实习基地，了解各专业毕业生就业情况和用人单位对人才的需求，并完成考察报告。三是举办“吉首大学信息科学与工程学院20</w:t>
      </w:r>
      <w:r>
        <w:rPr>
          <w:rFonts w:hint="eastAsia" w:ascii="Times New Roman" w:hAnsi="Times New Roman" w:eastAsia="宋体" w:cs="Times New Roman"/>
          <w:color w:val="auto"/>
          <w:kern w:val="0"/>
          <w:sz w:val="28"/>
          <w:szCs w:val="28"/>
          <w:shd w:val="clear" w:fill="FFFFFF"/>
          <w:lang w:val="en-US" w:eastAsia="zh-CN"/>
        </w:rPr>
        <w:t>20</w:t>
      </w:r>
      <w:r>
        <w:rPr>
          <w:rFonts w:hint="default" w:ascii="Times New Roman" w:hAnsi="Times New Roman" w:eastAsia="宋体" w:cs="Times New Roman"/>
          <w:color w:val="auto"/>
          <w:kern w:val="0"/>
          <w:sz w:val="28"/>
          <w:szCs w:val="28"/>
          <w:shd w:val="clear" w:fill="FFFFFF"/>
        </w:rPr>
        <w:t>届毕业生招聘月”活动，主动与用人单位联系，先后邀请了</w:t>
      </w:r>
      <w:r>
        <w:rPr>
          <w:rFonts w:hint="eastAsia" w:ascii="Times New Roman" w:hAnsi="Times New Roman" w:eastAsia="宋体" w:cs="Times New Roman"/>
          <w:color w:val="auto"/>
          <w:kern w:val="0"/>
          <w:sz w:val="28"/>
          <w:szCs w:val="28"/>
          <w:shd w:val="clear" w:fill="FFFFFF"/>
          <w:lang w:val="en-US" w:eastAsia="zh-CN"/>
        </w:rPr>
        <w:t>65</w:t>
      </w:r>
      <w:r>
        <w:rPr>
          <w:rFonts w:hint="default" w:ascii="Times New Roman" w:hAnsi="Times New Roman" w:eastAsia="宋体" w:cs="Times New Roman"/>
          <w:color w:val="auto"/>
          <w:kern w:val="0"/>
          <w:sz w:val="28"/>
          <w:szCs w:val="28"/>
          <w:shd w:val="clear" w:fill="FFFFFF"/>
        </w:rPr>
        <w:t>家用人单位来校进行专场招聘会</w:t>
      </w:r>
      <w:r>
        <w:rPr>
          <w:rFonts w:hint="default" w:ascii="Times New Roman" w:hAnsi="Times New Roman" w:eastAsia="宋体" w:cs="Times New Roman"/>
          <w:color w:val="auto"/>
          <w:kern w:val="0"/>
          <w:sz w:val="28"/>
          <w:szCs w:val="28"/>
          <w:shd w:val="clear" w:fill="FFFFFF"/>
          <w:lang w:eastAsia="zh-CN"/>
        </w:rPr>
        <w:t>和宣讲会。积极探索“顶岗实习”，与</w:t>
      </w:r>
      <w:r>
        <w:rPr>
          <w:rFonts w:hint="eastAsia" w:ascii="Times New Roman" w:hAnsi="Times New Roman" w:eastAsia="宋体" w:cs="Times New Roman"/>
          <w:color w:val="auto"/>
          <w:kern w:val="0"/>
          <w:sz w:val="28"/>
          <w:szCs w:val="28"/>
          <w:shd w:val="clear" w:fill="FFFFFF"/>
          <w:lang w:eastAsia="zh-CN"/>
        </w:rPr>
        <w:t>比亚迪汽车工业有限公司、中国铁塔怀化分公司、</w:t>
      </w:r>
      <w:r>
        <w:rPr>
          <w:rFonts w:hint="default" w:ascii="Times New Roman" w:hAnsi="Times New Roman" w:eastAsia="宋体" w:cs="Times New Roman"/>
          <w:color w:val="auto"/>
          <w:kern w:val="0"/>
          <w:sz w:val="28"/>
          <w:szCs w:val="28"/>
          <w:shd w:val="clear" w:fill="FFFFFF"/>
        </w:rPr>
        <w:t>湖南卫导信息科技有限公司</w:t>
      </w:r>
      <w:r>
        <w:rPr>
          <w:rFonts w:hint="eastAsia" w:ascii="Times New Roman" w:hAnsi="Times New Roman" w:eastAsia="宋体" w:cs="Times New Roman"/>
          <w:color w:val="auto"/>
          <w:kern w:val="0"/>
          <w:sz w:val="28"/>
          <w:szCs w:val="28"/>
          <w:shd w:val="clear" w:fill="FFFFFF"/>
          <w:lang w:eastAsia="zh-CN"/>
        </w:rPr>
        <w:t>、湖南地山和商业管理有限公司、</w:t>
      </w:r>
      <w:r>
        <w:rPr>
          <w:rFonts w:hint="default" w:ascii="Times New Roman" w:hAnsi="Times New Roman" w:eastAsia="宋体" w:cs="Times New Roman"/>
          <w:color w:val="auto"/>
          <w:kern w:val="0"/>
          <w:sz w:val="28"/>
          <w:szCs w:val="28"/>
          <w:shd w:val="clear" w:fill="FFFFFF"/>
        </w:rPr>
        <w:t>广州金升阳科技有限公司、海南创讯技术有限公司、中国电信股份有限公司、长沙格力暖通制冷设备有限公司等</w:t>
      </w:r>
      <w:r>
        <w:rPr>
          <w:rFonts w:hint="eastAsia" w:ascii="Times New Roman" w:hAnsi="Times New Roman" w:eastAsia="宋体" w:cs="Times New Roman"/>
          <w:color w:val="auto"/>
          <w:kern w:val="0"/>
          <w:sz w:val="28"/>
          <w:szCs w:val="28"/>
          <w:shd w:val="clear" w:fill="FFFFFF"/>
          <w:lang w:val="en-US" w:eastAsia="zh-CN"/>
        </w:rPr>
        <w:t>41</w:t>
      </w:r>
      <w:r>
        <w:rPr>
          <w:rFonts w:hint="default" w:ascii="Times New Roman" w:hAnsi="Times New Roman" w:eastAsia="宋体" w:cs="Times New Roman"/>
          <w:color w:val="auto"/>
          <w:kern w:val="0"/>
          <w:sz w:val="28"/>
          <w:szCs w:val="28"/>
          <w:shd w:val="clear" w:fill="FFFFFF"/>
        </w:rPr>
        <w:t>家企业达成了顶岗实习合作意向，20</w:t>
      </w:r>
      <w:r>
        <w:rPr>
          <w:rFonts w:hint="eastAsia" w:ascii="Times New Roman" w:hAnsi="Times New Roman" w:eastAsia="宋体" w:cs="Times New Roman"/>
          <w:color w:val="auto"/>
          <w:kern w:val="0"/>
          <w:sz w:val="28"/>
          <w:szCs w:val="28"/>
          <w:shd w:val="clear" w:fill="FFFFFF"/>
          <w:lang w:val="en-US" w:eastAsia="zh-CN"/>
        </w:rPr>
        <w:t>20</w:t>
      </w:r>
      <w:r>
        <w:rPr>
          <w:rFonts w:hint="default" w:ascii="Times New Roman" w:hAnsi="Times New Roman" w:eastAsia="宋体" w:cs="Times New Roman"/>
          <w:color w:val="auto"/>
          <w:kern w:val="0"/>
          <w:sz w:val="28"/>
          <w:szCs w:val="28"/>
          <w:shd w:val="clear" w:fill="FFFFFF"/>
        </w:rPr>
        <w:t>届毕业生共有</w:t>
      </w:r>
      <w:r>
        <w:rPr>
          <w:rFonts w:hint="eastAsia" w:ascii="Times New Roman" w:hAnsi="Times New Roman" w:eastAsia="宋体" w:cs="Times New Roman"/>
          <w:color w:val="auto"/>
          <w:kern w:val="0"/>
          <w:sz w:val="28"/>
          <w:szCs w:val="28"/>
          <w:shd w:val="clear" w:fill="FFFFFF"/>
          <w:lang w:val="en-US" w:eastAsia="zh-CN"/>
        </w:rPr>
        <w:t>40</w:t>
      </w:r>
      <w:r>
        <w:rPr>
          <w:rFonts w:hint="default" w:ascii="Times New Roman" w:hAnsi="Times New Roman" w:eastAsia="宋体" w:cs="Times New Roman"/>
          <w:color w:val="auto"/>
          <w:kern w:val="0"/>
          <w:sz w:val="28"/>
          <w:szCs w:val="28"/>
          <w:shd w:val="clear" w:fill="FFFFFF"/>
        </w:rPr>
        <w:t>余人选择“顶岗实习”毕业实习方式。</w:t>
      </w:r>
    </w:p>
    <w:p>
      <w:pPr>
        <w:keepNext w:val="0"/>
        <w:keepLines w:val="0"/>
        <w:pageBreakBefore w:val="0"/>
        <w:widowControl/>
        <w:numPr>
          <w:ilvl w:val="0"/>
          <w:numId w:val="0"/>
        </w:numPr>
        <w:overflowPunct w:val="0"/>
        <w:bidi w:val="0"/>
        <w:snapToGrid/>
        <w:ind w:left="0" w:right="0" w:firstLine="0"/>
        <w:jc w:val="left"/>
        <w:textAlignment w:val="auto"/>
        <w:outlineLvl w:val="1"/>
        <w:rPr>
          <w:rFonts w:hint="default" w:ascii="Times New Roman" w:hAnsi="Times New Roman" w:eastAsia="宋体" w:cs="Times New Roman"/>
          <w:b/>
          <w:color w:val="auto"/>
          <w:sz w:val="28"/>
          <w:szCs w:val="28"/>
        </w:rPr>
      </w:pPr>
      <w:bookmarkStart w:id="58" w:name="_Toc16911"/>
      <w:r>
        <w:rPr>
          <w:rFonts w:hint="default" w:ascii="Times New Roman" w:hAnsi="Times New Roman" w:eastAsia="宋体" w:cs="Times New Roman"/>
          <w:b/>
          <w:color w:val="auto"/>
          <w:sz w:val="28"/>
          <w:szCs w:val="28"/>
        </w:rPr>
        <w:t>（五）</w:t>
      </w:r>
      <w:r>
        <w:rPr>
          <w:rFonts w:hint="eastAsia" w:ascii="Times New Roman" w:hAnsi="Times New Roman" w:eastAsia="宋体" w:cs="Times New Roman"/>
          <w:b/>
          <w:color w:val="auto"/>
          <w:sz w:val="28"/>
          <w:szCs w:val="28"/>
          <w:lang w:eastAsia="zh-CN"/>
        </w:rPr>
        <w:t>搭平台及时</w:t>
      </w:r>
      <w:r>
        <w:rPr>
          <w:rFonts w:hint="default" w:ascii="Times New Roman" w:hAnsi="Times New Roman" w:eastAsia="宋体" w:cs="Times New Roman"/>
          <w:b/>
          <w:color w:val="auto"/>
          <w:sz w:val="28"/>
          <w:szCs w:val="28"/>
        </w:rPr>
        <w:t>发布就业信息</w:t>
      </w:r>
      <w:bookmarkEnd w:id="58"/>
    </w:p>
    <w:p>
      <w:pPr>
        <w:widowControl/>
        <w:ind w:left="0" w:right="0" w:firstLine="560"/>
        <w:jc w:val="left"/>
        <w:rPr>
          <w:rFonts w:hint="default" w:ascii="Times New Roman" w:hAnsi="Times New Roman" w:eastAsia="宋体" w:cs="Times New Roman"/>
          <w:color w:val="auto"/>
          <w:kern w:val="0"/>
          <w:sz w:val="28"/>
          <w:szCs w:val="28"/>
          <w:shd w:val="clear" w:fill="FFFFFF"/>
        </w:rPr>
      </w:pPr>
      <w:r>
        <w:rPr>
          <w:rFonts w:hint="default" w:ascii="Times New Roman" w:hAnsi="Times New Roman" w:eastAsia="宋体" w:cs="Times New Roman"/>
          <w:bCs/>
          <w:color w:val="auto"/>
          <w:sz w:val="28"/>
          <w:szCs w:val="28"/>
        </w:rPr>
        <w:t>及时发布就业信息，</w:t>
      </w:r>
      <w:r>
        <w:rPr>
          <w:rFonts w:hint="default" w:ascii="Times New Roman" w:hAnsi="Times New Roman" w:eastAsia="宋体" w:cs="Times New Roman"/>
          <w:color w:val="auto"/>
          <w:kern w:val="0"/>
          <w:sz w:val="28"/>
          <w:szCs w:val="28"/>
          <w:shd w:val="clear" w:fill="FFFFFF"/>
        </w:rPr>
        <w:t>就业创业信息收集和发布工作常态化，链接了湖南省毕业生就业网等多家省通过QQ群、微信、手机短信、学院网站“就业信息”栏目等信息公布平台，将就业创业最新政策和各类信息及时传递给每一位毕业生，为毕业生就业创业提供准确的政策指导和充足的就业信息，实现了就业信息服务系统化、多样化。就业专干通过QQ群、手机短信、网站等媒介与各届毕业生长期保持联系。20</w:t>
      </w:r>
      <w:r>
        <w:rPr>
          <w:rFonts w:hint="eastAsia" w:ascii="Times New Roman" w:hAnsi="Times New Roman" w:eastAsia="宋体" w:cs="Times New Roman"/>
          <w:color w:val="auto"/>
          <w:kern w:val="0"/>
          <w:sz w:val="28"/>
          <w:szCs w:val="28"/>
          <w:shd w:val="clear" w:fill="FFFFFF"/>
          <w:lang w:val="en-US" w:eastAsia="zh-CN"/>
        </w:rPr>
        <w:t>20</w:t>
      </w:r>
      <w:r>
        <w:rPr>
          <w:rFonts w:hint="default" w:ascii="Times New Roman" w:hAnsi="Times New Roman" w:eastAsia="宋体" w:cs="Times New Roman"/>
          <w:color w:val="auto"/>
          <w:kern w:val="0"/>
          <w:sz w:val="28"/>
          <w:szCs w:val="28"/>
          <w:shd w:val="clear" w:fill="FFFFFF"/>
        </w:rPr>
        <w:t>年共发布</w:t>
      </w:r>
      <w:r>
        <w:rPr>
          <w:rFonts w:hint="eastAsia" w:ascii="Times New Roman" w:hAnsi="Times New Roman" w:eastAsia="宋体" w:cs="Times New Roman"/>
          <w:color w:val="auto"/>
          <w:kern w:val="0"/>
          <w:sz w:val="28"/>
          <w:szCs w:val="28"/>
          <w:shd w:val="clear" w:fill="FFFFFF"/>
          <w:lang w:val="en-US" w:eastAsia="zh-CN"/>
        </w:rPr>
        <w:t>65</w:t>
      </w:r>
      <w:r>
        <w:rPr>
          <w:rFonts w:hint="default" w:ascii="Times New Roman" w:hAnsi="Times New Roman" w:eastAsia="宋体" w:cs="Times New Roman"/>
          <w:color w:val="auto"/>
          <w:kern w:val="0"/>
          <w:sz w:val="28"/>
          <w:szCs w:val="28"/>
          <w:shd w:val="clear" w:fill="FFFFFF"/>
        </w:rPr>
        <w:t>家用人单位招聘信息，提供就业岗位</w:t>
      </w:r>
      <w:r>
        <w:rPr>
          <w:rFonts w:hint="eastAsia" w:ascii="Times New Roman" w:hAnsi="Times New Roman" w:eastAsia="宋体" w:cs="Times New Roman"/>
          <w:color w:val="auto"/>
          <w:kern w:val="0"/>
          <w:sz w:val="28"/>
          <w:szCs w:val="28"/>
          <w:shd w:val="clear" w:fill="FFFFFF"/>
          <w:lang w:val="en-US" w:eastAsia="zh-CN"/>
        </w:rPr>
        <w:t>1600</w:t>
      </w:r>
      <w:r>
        <w:rPr>
          <w:rFonts w:hint="default" w:ascii="Times New Roman" w:hAnsi="Times New Roman" w:eastAsia="宋体" w:cs="Times New Roman"/>
          <w:color w:val="auto"/>
          <w:kern w:val="0"/>
          <w:sz w:val="28"/>
          <w:szCs w:val="28"/>
          <w:shd w:val="clear" w:fill="FFFFFF"/>
        </w:rPr>
        <w:t>余个，涉及计算机科学与技术、通信工程、电气工程及其自动化、电子信息工程、网络工程等专业，为提高毕业生的就业率和就业质量起到了推动作用。</w:t>
      </w:r>
    </w:p>
    <w:p>
      <w:pPr>
        <w:keepNext w:val="0"/>
        <w:keepLines w:val="0"/>
        <w:pageBreakBefore w:val="0"/>
        <w:widowControl/>
        <w:numPr>
          <w:ilvl w:val="0"/>
          <w:numId w:val="0"/>
        </w:numPr>
        <w:overflowPunct w:val="0"/>
        <w:bidi w:val="0"/>
        <w:snapToGrid/>
        <w:ind w:left="0" w:right="0" w:firstLine="0"/>
        <w:jc w:val="left"/>
        <w:textAlignment w:val="auto"/>
        <w:outlineLvl w:val="1"/>
        <w:rPr>
          <w:rFonts w:hint="eastAsia" w:ascii="Times New Roman" w:hAnsi="Times New Roman" w:eastAsia="宋体" w:cs="Times New Roman"/>
          <w:b/>
          <w:color w:val="auto"/>
          <w:sz w:val="28"/>
          <w:szCs w:val="28"/>
          <w:lang w:eastAsia="zh-CN"/>
        </w:rPr>
      </w:pPr>
      <w:r>
        <w:rPr>
          <w:rFonts w:hint="eastAsia" w:ascii="Times New Roman" w:hAnsi="Times New Roman" w:eastAsia="宋体" w:cs="Times New Roman"/>
          <w:b/>
          <w:color w:val="auto"/>
          <w:sz w:val="28"/>
          <w:szCs w:val="28"/>
          <w:lang w:eastAsia="zh-CN"/>
        </w:rPr>
        <w:t>（六）</w:t>
      </w:r>
      <w:r>
        <w:rPr>
          <w:rFonts w:hint="default" w:ascii="Times New Roman" w:hAnsi="Times New Roman" w:eastAsia="宋体" w:cs="Times New Roman"/>
          <w:b/>
          <w:color w:val="auto"/>
          <w:sz w:val="28"/>
          <w:szCs w:val="28"/>
        </w:rPr>
        <w:t>优化就业创业指导和服务工作</w:t>
      </w:r>
    </w:p>
    <w:p>
      <w:pPr>
        <w:widowControl/>
        <w:ind w:left="0" w:right="0" w:firstLine="560"/>
        <w:jc w:val="left"/>
        <w:rPr>
          <w:rFonts w:hint="default" w:ascii="Times New Roman" w:hAnsi="Times New Roman" w:eastAsia="宋体" w:cs="Times New Roman"/>
          <w:bCs/>
          <w:sz w:val="28"/>
          <w:szCs w:val="28"/>
        </w:rPr>
      </w:pPr>
      <w:r>
        <w:rPr>
          <w:rFonts w:hint="default" w:ascii="Times New Roman" w:hAnsi="Times New Roman" w:eastAsia="宋体" w:cs="Times New Roman"/>
          <w:bCs/>
          <w:color w:val="auto"/>
          <w:sz w:val="28"/>
          <w:szCs w:val="28"/>
        </w:rPr>
        <w:t>优化就业创业指导和服务工作。开展个性化就业创业工作，学</w:t>
      </w:r>
      <w:r>
        <w:rPr>
          <w:rFonts w:hint="default" w:ascii="Times New Roman" w:hAnsi="Times New Roman" w:eastAsia="宋体" w:cs="Times New Roman"/>
          <w:color w:val="auto"/>
          <w:kern w:val="0"/>
          <w:sz w:val="28"/>
          <w:szCs w:val="28"/>
          <w:shd w:val="clear" w:fill="FFFFFF"/>
        </w:rPr>
        <w:t>院针对毕业生个性化需要从三个方面开展就业创业服务：一是教研室根据毕业生需求开展就业咨询与服务，有记录，有总结，有分析；二是系统性就业创业服务指导，为提高学生求职能力，学院专门邀请了北京千锋互联科技有限公司的专业团队举办了为期一周的面试技巧培训，内容涵盖就业意向调查、简历制作、面试技巧的传授、求职模拟演练等各个环节，极大地提升了毕业生求职能力，得到学生的好评；三是特殊群体的“一对一”帮扶；针对家庭困难、少数民族、农村生源等毕业生，不仅建立特殊群体毕业生就业工作台账，还搭建了“一对一”帮扶平台。</w:t>
      </w:r>
      <w:r>
        <w:rPr>
          <w:rFonts w:hint="default" w:ascii="Times New Roman" w:hAnsi="Times New Roman" w:eastAsia="宋体" w:cs="Times New Roman"/>
          <w:bCs/>
          <w:color w:val="auto"/>
          <w:sz w:val="28"/>
          <w:szCs w:val="28"/>
        </w:rPr>
        <w:t>积极引导和鼓励毕业生到基层就业，</w:t>
      </w:r>
      <w:r>
        <w:rPr>
          <w:rFonts w:hint="default" w:ascii="Times New Roman" w:hAnsi="Times New Roman" w:eastAsia="宋体" w:cs="Times New Roman"/>
          <w:color w:val="auto"/>
          <w:kern w:val="0"/>
          <w:sz w:val="28"/>
          <w:szCs w:val="28"/>
          <w:shd w:val="clear" w:fill="FFFFFF"/>
        </w:rPr>
        <w:t>学院把基层就业作为就业指导课的一项重要内容，把面向基层就业的相关政策、信息及时传达给每个毕业生。在毕业生动员大会上，我院党委副书记田清旺为毕业生宣传西部志愿者、农村特岗教师等国家鼓励大学生面向基层就业的相关政策。树立面向基层就业的典型，积极引导毕业生到西部地区、到民族地区、到基层等祖国最需要的地方去建功立业。20</w:t>
      </w:r>
      <w:r>
        <w:rPr>
          <w:rFonts w:hint="eastAsia" w:ascii="Times New Roman" w:hAnsi="Times New Roman" w:eastAsia="宋体" w:cs="Times New Roman"/>
          <w:color w:val="auto"/>
          <w:kern w:val="0"/>
          <w:sz w:val="28"/>
          <w:szCs w:val="28"/>
          <w:shd w:val="clear" w:fill="FFFFFF"/>
          <w:lang w:val="en-US" w:eastAsia="zh-CN"/>
        </w:rPr>
        <w:t>20</w:t>
      </w:r>
      <w:r>
        <w:rPr>
          <w:rFonts w:hint="default" w:ascii="Times New Roman" w:hAnsi="Times New Roman" w:eastAsia="宋体" w:cs="Times New Roman"/>
          <w:color w:val="auto"/>
          <w:kern w:val="0"/>
          <w:sz w:val="28"/>
          <w:szCs w:val="28"/>
          <w:shd w:val="clear" w:fill="FFFFFF"/>
        </w:rPr>
        <w:t>年，我院毕业生积极参与了大学生志愿服务西部计划项目。大力支持毕业生</w:t>
      </w:r>
      <w:r>
        <w:rPr>
          <w:rFonts w:hint="default" w:ascii="Times New Roman" w:hAnsi="Times New Roman" w:eastAsia="宋体" w:cs="Times New Roman"/>
          <w:bCs/>
          <w:color w:val="auto"/>
          <w:sz w:val="28"/>
          <w:szCs w:val="28"/>
        </w:rPr>
        <w:t>考研，学院</w:t>
      </w:r>
      <w:r>
        <w:rPr>
          <w:rFonts w:hint="default" w:ascii="Times New Roman" w:hAnsi="Times New Roman" w:eastAsia="宋体" w:cs="Times New Roman"/>
          <w:color w:val="auto"/>
          <w:kern w:val="0"/>
          <w:sz w:val="28"/>
          <w:szCs w:val="28"/>
          <w:shd w:val="clear" w:fill="FFFFFF"/>
        </w:rPr>
        <w:t>组建了由我院的博士、教授、副教授任指导老师的毕业生考研辅导小组，并出台了《学生考研指导奖励办法》；2</w:t>
      </w:r>
      <w:r>
        <w:rPr>
          <w:rFonts w:hint="eastAsia" w:ascii="Times New Roman" w:hAnsi="Times New Roman" w:eastAsia="宋体" w:cs="Times New Roman"/>
          <w:color w:val="auto"/>
          <w:kern w:val="0"/>
          <w:sz w:val="28"/>
          <w:szCs w:val="28"/>
          <w:shd w:val="clear" w:fill="FFFFFF"/>
          <w:lang w:val="en-US" w:eastAsia="zh-CN"/>
        </w:rPr>
        <w:t>020</w:t>
      </w:r>
      <w:r>
        <w:rPr>
          <w:rFonts w:hint="default" w:ascii="Times New Roman" w:hAnsi="Times New Roman" w:eastAsia="宋体" w:cs="Times New Roman"/>
          <w:color w:val="auto"/>
          <w:kern w:val="0"/>
          <w:sz w:val="28"/>
          <w:szCs w:val="28"/>
          <w:shd w:val="clear" w:fill="FFFFFF"/>
        </w:rPr>
        <w:t>届毕业生考研率为</w:t>
      </w:r>
      <w:r>
        <w:rPr>
          <w:rFonts w:hint="eastAsia" w:ascii="Times New Roman" w:hAnsi="Times New Roman" w:eastAsia="宋体" w:cs="Times New Roman"/>
          <w:color w:val="auto"/>
          <w:kern w:val="0"/>
          <w:sz w:val="28"/>
          <w:szCs w:val="28"/>
          <w:shd w:val="clear" w:fill="FFFFFF"/>
          <w:lang w:val="en-US" w:eastAsia="zh-CN"/>
        </w:rPr>
        <w:t>13.55%</w:t>
      </w:r>
      <w:r>
        <w:rPr>
          <w:rFonts w:hint="eastAsia" w:ascii="Times New Roman" w:hAnsi="Times New Roman" w:eastAsia="宋体" w:cs="Times New Roman"/>
          <w:sz w:val="28"/>
          <w:szCs w:val="28"/>
          <w:lang w:val="en-US" w:eastAsia="zh-CN"/>
        </w:rPr>
        <w:t>，升学率连续五年增长。</w:t>
      </w:r>
    </w:p>
    <w:p>
      <w:pPr>
        <w:keepNext w:val="0"/>
        <w:keepLines w:val="0"/>
        <w:pageBreakBefore w:val="0"/>
        <w:widowControl/>
        <w:numPr>
          <w:ilvl w:val="0"/>
          <w:numId w:val="0"/>
        </w:numPr>
        <w:overflowPunct w:val="0"/>
        <w:bidi w:val="0"/>
        <w:snapToGrid/>
        <w:ind w:left="0" w:right="0" w:firstLine="0"/>
        <w:jc w:val="left"/>
        <w:textAlignment w:val="auto"/>
        <w:outlineLvl w:val="1"/>
        <w:rPr>
          <w:rFonts w:hint="eastAsia" w:ascii="Times New Roman" w:hAnsi="Times New Roman" w:eastAsia="宋体" w:cs="Times New Roman"/>
          <w:b/>
          <w:color w:val="auto"/>
          <w:sz w:val="28"/>
          <w:szCs w:val="28"/>
          <w:lang w:eastAsia="zh-CN"/>
        </w:rPr>
      </w:pPr>
      <w:bookmarkStart w:id="59" w:name="_GoBack1"/>
      <w:bookmarkEnd w:id="59"/>
      <w:r>
        <w:rPr>
          <w:rFonts w:hint="eastAsia" w:ascii="Times New Roman" w:hAnsi="Times New Roman" w:eastAsia="宋体" w:cs="Times New Roman"/>
          <w:b/>
          <w:color w:val="auto"/>
          <w:sz w:val="28"/>
          <w:szCs w:val="28"/>
          <w:lang w:val="en-US" w:eastAsia="zh-CN"/>
        </w:rPr>
        <w:t xml:space="preserve">（七）实施学生就业状况动态监测 </w:t>
      </w:r>
    </w:p>
    <w:p>
      <w:pPr>
        <w:widowControl/>
        <w:ind w:left="0" w:right="0" w:firstLine="560"/>
        <w:jc w:val="left"/>
        <w:rPr>
          <w:rFonts w:hint="default" w:ascii="Times New Roman" w:hAnsi="Times New Roman" w:eastAsia="宋体" w:cs="Times New Roman"/>
          <w:color w:val="auto"/>
          <w:kern w:val="0"/>
          <w:sz w:val="28"/>
          <w:szCs w:val="28"/>
          <w:shd w:val="clear" w:fill="FFFFFF"/>
        </w:rPr>
      </w:pPr>
      <w:r>
        <w:rPr>
          <w:rFonts w:hint="eastAsia" w:ascii="Times New Roman" w:hAnsi="Times New Roman" w:eastAsia="宋体" w:cs="Times New Roman"/>
          <w:color w:val="auto"/>
          <w:kern w:val="0"/>
          <w:sz w:val="28"/>
          <w:szCs w:val="28"/>
          <w:shd w:val="clear" w:fill="FFFFFF"/>
          <w:lang w:val="en-US" w:eastAsia="zh-CN"/>
        </w:rPr>
        <w:t xml:space="preserve">为了切实有效地提升 </w:t>
      </w:r>
      <w:r>
        <w:rPr>
          <w:rFonts w:hint="default" w:ascii="Times New Roman" w:hAnsi="Times New Roman" w:eastAsia="宋体" w:cs="Times New Roman"/>
          <w:color w:val="auto"/>
          <w:kern w:val="0"/>
          <w:sz w:val="28"/>
          <w:szCs w:val="28"/>
          <w:shd w:val="clear" w:fill="FFFFFF"/>
          <w:lang w:val="en-US" w:eastAsia="zh-CN"/>
        </w:rPr>
        <w:t xml:space="preserve">2020 </w:t>
      </w:r>
      <w:r>
        <w:rPr>
          <w:rFonts w:hint="eastAsia" w:ascii="Times New Roman" w:hAnsi="Times New Roman" w:eastAsia="宋体" w:cs="Times New Roman"/>
          <w:color w:val="auto"/>
          <w:kern w:val="0"/>
          <w:sz w:val="28"/>
          <w:szCs w:val="28"/>
          <w:shd w:val="clear" w:fill="FFFFFF"/>
          <w:lang w:val="en-US" w:eastAsia="zh-CN"/>
        </w:rPr>
        <w:t xml:space="preserve">届毕业生的就业率和就业质量，每周及时开展毕业生摸底工作，了解毕业生就业情况，及时跟踪和辅导，同时全面掌握“建档立卡”学生就业意向以及求职、签约等基本信息和就业状态，建立动态台账，主动跟进，及时统计就业信息。对毕业生就业落实情况和毕业生参与招聘活动情况等开展实时核查，对于学生所学专业和单位行业匹配性差异较大等情况，逐一通过电话核实就业信息，确保“稳就业”。 </w:t>
      </w:r>
    </w:p>
    <w:p>
      <w:pPr>
        <w:widowControl/>
        <w:jc w:val="left"/>
        <w:rPr>
          <w:rFonts w:hint="default" w:ascii="Times New Roman" w:hAnsi="Times New Roman" w:eastAsia="宋体" w:cs="Times New Roman"/>
          <w:bCs/>
          <w:sz w:val="32"/>
          <w:szCs w:val="32"/>
        </w:rPr>
      </w:pPr>
    </w:p>
    <w:p>
      <w:pPr>
        <w:ind w:left="0" w:right="0" w:firstLine="640"/>
        <w:rPr>
          <w:rFonts w:hint="default" w:ascii="Times New Roman" w:hAnsi="Times New Roman" w:eastAsia="宋体" w:cs="Times New Roman"/>
          <w:color w:val="000000"/>
          <w:kern w:val="0"/>
          <w:sz w:val="32"/>
          <w:szCs w:val="32"/>
          <w:highlight w:val="white"/>
        </w:rPr>
      </w:pPr>
    </w:p>
    <w:p>
      <w:pPr>
        <w:rPr>
          <w:rFonts w:hint="default" w:ascii="Times New Roman" w:hAnsi="Times New Roman" w:eastAsia="宋体" w:cs="Times New Roman"/>
          <w:color w:val="000000"/>
          <w:kern w:val="0"/>
          <w:sz w:val="32"/>
          <w:szCs w:val="32"/>
          <w:highlight w:val="white"/>
        </w:rPr>
      </w:pPr>
    </w:p>
    <w:p>
      <w:pPr>
        <w:widowControl/>
        <w:ind w:left="0" w:right="0" w:firstLine="560"/>
        <w:jc w:val="left"/>
        <w:rPr>
          <w:rFonts w:hint="default" w:ascii="Times New Roman" w:hAnsi="Times New Roman" w:eastAsia="宋体" w:cs="Times New Roman"/>
        </w:rPr>
      </w:pPr>
      <w:r>
        <w:rPr>
          <w:rFonts w:hint="default" w:ascii="Times New Roman" w:hAnsi="Times New Roman" w:eastAsia="宋体" w:cs="Times New Roman"/>
          <w:bCs/>
          <w:sz w:val="28"/>
          <w:szCs w:val="28"/>
          <w:lang w:val="en-US"/>
        </w:rPr>
        <w:t xml:space="preserve">         </w:t>
      </w:r>
    </w:p>
    <w:sectPr>
      <w:footerReference r:id="rId3" w:type="default"/>
      <w:pgSz w:w="11906" w:h="16838"/>
      <w:pgMar w:top="1440" w:right="1800" w:bottom="1440" w:left="1800" w:header="0" w:footer="992" w:gutter="0"/>
      <w:pgNumType w:fmt="decimal" w:start="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Liberation Sans">
    <w:altName w:val="宋体"/>
    <w:panose1 w:val="00000000000000000000"/>
    <w:charset w:val="86"/>
    <w:family w:val="roma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Calibri Light">
    <w:altName w:val="宋体"/>
    <w:panose1 w:val="020F0302020204030204"/>
    <w:charset w:val="86"/>
    <w:family w:val="roman"/>
    <w:pitch w:val="default"/>
    <w:sig w:usb0="00000000" w:usb1="00000000" w:usb2="00000009" w:usb3="00000000" w:csb0="200001FF" w:csb1="00000000"/>
  </w:font>
  <w:font w:name="仿宋_GB2312">
    <w:altName w:val="仿宋"/>
    <w:panose1 w:val="00000000000000000000"/>
    <w:charset w:val="86"/>
    <w:family w:val="roman"/>
    <w:pitch w:val="default"/>
    <w:sig w:usb0="00000000" w:usb1="00000000" w:usb2="00000000" w:usb3="00000000" w:csb0="00000000" w:csb1="00000000"/>
  </w:font>
  <w:font w:name="仿宋">
    <w:panose1 w:val="02010609060101010101"/>
    <w:charset w:val="86"/>
    <w:family w:val="roman"/>
    <w:pitch w:val="default"/>
    <w:sig w:usb0="800002BF" w:usb1="38CF7CFA" w:usb2="00000016" w:usb3="00000000" w:csb0="00040001" w:csb1="00000000"/>
  </w:font>
  <w:font w:name="Calibri">
    <w:altName w:val="微软雅黑"/>
    <w:panose1 w:val="020F0502020204030204"/>
    <w:charset w:val="01"/>
    <w:family w:val="auto"/>
    <w:pitch w:val="default"/>
    <w:sig w:usb0="00000000" w:usb1="00000000" w:usb2="00000000" w:usb3="00000000" w:csb0="00000000" w:csb1="00000000"/>
  </w:font>
  <w:font w:name="Calibri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88DE7D"/>
    <w:multiLevelType w:val="singleLevel"/>
    <w:tmpl w:val="B488DE7D"/>
    <w:lvl w:ilvl="0" w:tentative="0">
      <w:start w:val="3"/>
      <w:numFmt w:val="chineseCounting"/>
      <w:suff w:val="nothing"/>
      <w:lvlText w:val="%1、"/>
      <w:lvlJc w:val="left"/>
      <w:rPr>
        <w:rFonts w:hint="eastAsia"/>
      </w:rPr>
    </w:lvl>
  </w:abstractNum>
  <w:abstractNum w:abstractNumId="1">
    <w:nsid w:val="0053208E"/>
    <w:multiLevelType w:val="multilevel"/>
    <w:tmpl w:val="0053208E"/>
    <w:lvl w:ilvl="0" w:tentative="0">
      <w:start w:val="2"/>
      <w:numFmt w:val="taiwaneseCountingThousand"/>
      <w:suff w:val="nothing"/>
      <w:lvlText w:val="%1、"/>
      <w:lvlJc w:val="left"/>
      <w:pPr>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5D0B7840"/>
    <w:multiLevelType w:val="singleLevel"/>
    <w:tmpl w:val="5D0B7840"/>
    <w:lvl w:ilvl="0" w:tentative="0">
      <w:start w:val="4"/>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50981"/>
    <w:rsid w:val="02556D1F"/>
    <w:rsid w:val="029D176A"/>
    <w:rsid w:val="02A47CF8"/>
    <w:rsid w:val="03433EF1"/>
    <w:rsid w:val="036F41A9"/>
    <w:rsid w:val="040127C5"/>
    <w:rsid w:val="04200FBD"/>
    <w:rsid w:val="05131FEA"/>
    <w:rsid w:val="06D842B9"/>
    <w:rsid w:val="07635C4A"/>
    <w:rsid w:val="07CE10A2"/>
    <w:rsid w:val="084C0665"/>
    <w:rsid w:val="0883755D"/>
    <w:rsid w:val="09C81827"/>
    <w:rsid w:val="09D60752"/>
    <w:rsid w:val="0A6023B7"/>
    <w:rsid w:val="0AA70601"/>
    <w:rsid w:val="0BA672CA"/>
    <w:rsid w:val="0C252019"/>
    <w:rsid w:val="0C61303B"/>
    <w:rsid w:val="0CE27BBE"/>
    <w:rsid w:val="0D3F7E0C"/>
    <w:rsid w:val="0EF37994"/>
    <w:rsid w:val="0F70742C"/>
    <w:rsid w:val="100E4127"/>
    <w:rsid w:val="1021375A"/>
    <w:rsid w:val="10EC4D68"/>
    <w:rsid w:val="10ED34FB"/>
    <w:rsid w:val="11352259"/>
    <w:rsid w:val="126D50D3"/>
    <w:rsid w:val="127B0E41"/>
    <w:rsid w:val="12CC61D2"/>
    <w:rsid w:val="139E0B43"/>
    <w:rsid w:val="149F2C0E"/>
    <w:rsid w:val="150E6ADF"/>
    <w:rsid w:val="15170AC0"/>
    <w:rsid w:val="15973035"/>
    <w:rsid w:val="15DB42CA"/>
    <w:rsid w:val="15FD78D0"/>
    <w:rsid w:val="16873B74"/>
    <w:rsid w:val="1758459D"/>
    <w:rsid w:val="175C3D03"/>
    <w:rsid w:val="189F0C29"/>
    <w:rsid w:val="19ED7344"/>
    <w:rsid w:val="1B016579"/>
    <w:rsid w:val="1B8A3563"/>
    <w:rsid w:val="1BEC71EB"/>
    <w:rsid w:val="1E3A5B85"/>
    <w:rsid w:val="1E6F32AF"/>
    <w:rsid w:val="1F816F52"/>
    <w:rsid w:val="20811C64"/>
    <w:rsid w:val="21733265"/>
    <w:rsid w:val="244C6AA9"/>
    <w:rsid w:val="251E17FA"/>
    <w:rsid w:val="27CF1A54"/>
    <w:rsid w:val="27FD2BC9"/>
    <w:rsid w:val="28A658BA"/>
    <w:rsid w:val="29246357"/>
    <w:rsid w:val="295C09D1"/>
    <w:rsid w:val="2AE97BF7"/>
    <w:rsid w:val="2AF732E5"/>
    <w:rsid w:val="2C8F0BD7"/>
    <w:rsid w:val="2D397E72"/>
    <w:rsid w:val="2DE26B03"/>
    <w:rsid w:val="308A5127"/>
    <w:rsid w:val="32506BE6"/>
    <w:rsid w:val="34374308"/>
    <w:rsid w:val="34DA11FD"/>
    <w:rsid w:val="36454A9E"/>
    <w:rsid w:val="3B1E4FC2"/>
    <w:rsid w:val="3BA83AD5"/>
    <w:rsid w:val="3BF2249B"/>
    <w:rsid w:val="3C0E1364"/>
    <w:rsid w:val="3C111ED3"/>
    <w:rsid w:val="3C586260"/>
    <w:rsid w:val="3CEE733C"/>
    <w:rsid w:val="3D765B08"/>
    <w:rsid w:val="3DB62E68"/>
    <w:rsid w:val="3E2D30C1"/>
    <w:rsid w:val="3FA2397B"/>
    <w:rsid w:val="3FA86162"/>
    <w:rsid w:val="40B20F6A"/>
    <w:rsid w:val="40E14CA7"/>
    <w:rsid w:val="41E21227"/>
    <w:rsid w:val="42BD4CE4"/>
    <w:rsid w:val="43826324"/>
    <w:rsid w:val="43F26EEE"/>
    <w:rsid w:val="448F6167"/>
    <w:rsid w:val="44F706EC"/>
    <w:rsid w:val="467E5492"/>
    <w:rsid w:val="46CE4B5B"/>
    <w:rsid w:val="474469CA"/>
    <w:rsid w:val="47696C0B"/>
    <w:rsid w:val="47FD18FC"/>
    <w:rsid w:val="488C5196"/>
    <w:rsid w:val="4A400A74"/>
    <w:rsid w:val="4CD15595"/>
    <w:rsid w:val="532F49BD"/>
    <w:rsid w:val="53D821B3"/>
    <w:rsid w:val="558F3C58"/>
    <w:rsid w:val="562C71E6"/>
    <w:rsid w:val="568F3DB9"/>
    <w:rsid w:val="56A43157"/>
    <w:rsid w:val="58E20C6D"/>
    <w:rsid w:val="59142D43"/>
    <w:rsid w:val="597138CA"/>
    <w:rsid w:val="5A0D40D3"/>
    <w:rsid w:val="5B207AC0"/>
    <w:rsid w:val="5B5F5CB2"/>
    <w:rsid w:val="5C406255"/>
    <w:rsid w:val="5D0F6B92"/>
    <w:rsid w:val="5D170A43"/>
    <w:rsid w:val="5E2241B4"/>
    <w:rsid w:val="5E490CC8"/>
    <w:rsid w:val="5EA73BA1"/>
    <w:rsid w:val="5F820513"/>
    <w:rsid w:val="6035017D"/>
    <w:rsid w:val="6035632A"/>
    <w:rsid w:val="60795AB2"/>
    <w:rsid w:val="60E159AF"/>
    <w:rsid w:val="612D6600"/>
    <w:rsid w:val="61327BE3"/>
    <w:rsid w:val="61EA4018"/>
    <w:rsid w:val="628913BD"/>
    <w:rsid w:val="62BB0761"/>
    <w:rsid w:val="635E0E5B"/>
    <w:rsid w:val="63E70E01"/>
    <w:rsid w:val="65AC398B"/>
    <w:rsid w:val="65C87050"/>
    <w:rsid w:val="67446CA1"/>
    <w:rsid w:val="67B024C5"/>
    <w:rsid w:val="67C076E2"/>
    <w:rsid w:val="68B85C1F"/>
    <w:rsid w:val="69021D06"/>
    <w:rsid w:val="690A4C74"/>
    <w:rsid w:val="6978047C"/>
    <w:rsid w:val="697F4DD4"/>
    <w:rsid w:val="69A96000"/>
    <w:rsid w:val="6A64322D"/>
    <w:rsid w:val="6B457A50"/>
    <w:rsid w:val="6B4A34C9"/>
    <w:rsid w:val="6C040926"/>
    <w:rsid w:val="6D8A1F98"/>
    <w:rsid w:val="70B05878"/>
    <w:rsid w:val="70B91AC4"/>
    <w:rsid w:val="70D97BA2"/>
    <w:rsid w:val="711C2874"/>
    <w:rsid w:val="72113805"/>
    <w:rsid w:val="72567A35"/>
    <w:rsid w:val="72E937AF"/>
    <w:rsid w:val="755C6186"/>
    <w:rsid w:val="762B7CD5"/>
    <w:rsid w:val="76345989"/>
    <w:rsid w:val="76FC272E"/>
    <w:rsid w:val="779C6DC2"/>
    <w:rsid w:val="77A43ECA"/>
    <w:rsid w:val="7812542A"/>
    <w:rsid w:val="78985AA5"/>
    <w:rsid w:val="78BA52C8"/>
    <w:rsid w:val="793F527F"/>
    <w:rsid w:val="7A2E6BAF"/>
    <w:rsid w:val="7ADF3D70"/>
    <w:rsid w:val="7B3B7030"/>
    <w:rsid w:val="7B593A04"/>
    <w:rsid w:val="7B6E442B"/>
    <w:rsid w:val="7C320548"/>
    <w:rsid w:val="7EA9560A"/>
    <w:rsid w:val="7F2F31F4"/>
    <w:rsid w:val="7F4830A7"/>
    <w:rsid w:val="7F5633DC"/>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bidi w:val="0"/>
      <w:ind w:left="0" w:right="0" w:firstLine="0"/>
      <w:jc w:val="both"/>
    </w:pPr>
    <w:rPr>
      <w:rFonts w:asciiTheme="minorHAnsi" w:hAnsiTheme="minorHAnsi" w:eastAsiaTheme="minorEastAsia" w:cstheme="minorBidi"/>
      <w:color w:val="auto"/>
      <w:kern w:val="2"/>
      <w:sz w:val="21"/>
      <w:szCs w:val="24"/>
      <w:lang w:val="en-US" w:eastAsia="zh-CN" w:bidi="ar-SA"/>
    </w:rPr>
  </w:style>
  <w:style w:type="paragraph" w:styleId="2">
    <w:name w:val="heading 1"/>
    <w:basedOn w:val="1"/>
    <w:next w:val="1"/>
    <w:qFormat/>
    <w:uiPriority w:val="0"/>
    <w:pPr>
      <w:keepNext/>
      <w:keepLines/>
      <w:outlineLvl w:val="0"/>
    </w:pPr>
    <w:rPr>
      <w:b/>
      <w:kern w:val="2"/>
      <w:sz w:val="32"/>
    </w:rPr>
  </w:style>
  <w:style w:type="paragraph" w:styleId="3">
    <w:name w:val="heading 2"/>
    <w:basedOn w:val="1"/>
    <w:next w:val="1"/>
    <w:unhideWhenUsed/>
    <w:qFormat/>
    <w:uiPriority w:val="0"/>
    <w:pPr>
      <w:keepNext/>
      <w:keepLines/>
      <w:spacing w:before="260" w:after="260" w:line="408" w:lineRule="auto"/>
      <w:outlineLvl w:val="1"/>
    </w:pPr>
    <w:rPr>
      <w:rFonts w:ascii="Arial" w:hAnsi="Arial"/>
      <w:b/>
      <w:sz w:val="30"/>
    </w:rPr>
  </w:style>
  <w:style w:type="paragraph" w:styleId="4">
    <w:name w:val="heading 3"/>
    <w:basedOn w:val="1"/>
    <w:next w:val="1"/>
    <w:unhideWhenUsed/>
    <w:qFormat/>
    <w:uiPriority w:val="0"/>
    <w:pPr>
      <w:keepNext/>
      <w:keepLines/>
      <w:spacing w:before="260" w:after="260" w:line="408" w:lineRule="auto"/>
      <w:outlineLvl w:val="2"/>
    </w:pPr>
    <w:rPr>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suppressLineNumbers/>
      <w:spacing w:before="120" w:after="120"/>
    </w:pPr>
    <w:rPr>
      <w:rFonts w:cs="Arial"/>
      <w:i/>
      <w:iCs/>
      <w:sz w:val="24"/>
      <w:szCs w:val="24"/>
    </w:rPr>
  </w:style>
  <w:style w:type="paragraph" w:styleId="6">
    <w:name w:val="Body Text"/>
    <w:basedOn w:val="1"/>
    <w:qFormat/>
    <w:uiPriority w:val="0"/>
    <w:pPr>
      <w:spacing w:before="0" w:after="140" w:line="276" w:lineRule="auto"/>
    </w:pPr>
  </w:style>
  <w:style w:type="paragraph" w:styleId="7">
    <w:name w:val="toc 3"/>
    <w:basedOn w:val="1"/>
    <w:next w:val="1"/>
    <w:qFormat/>
    <w:uiPriority w:val="39"/>
    <w:pPr>
      <w:ind w:left="840" w:right="0" w:firstLine="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List"/>
    <w:basedOn w:val="6"/>
    <w:qFormat/>
    <w:uiPriority w:val="0"/>
    <w:rPr>
      <w:rFonts w:cs="Arial"/>
    </w:rPr>
  </w:style>
  <w:style w:type="paragraph" w:styleId="12">
    <w:name w:val="toc 2"/>
    <w:basedOn w:val="1"/>
    <w:next w:val="1"/>
    <w:qFormat/>
    <w:uiPriority w:val="39"/>
    <w:pPr>
      <w:tabs>
        <w:tab w:val="right" w:leader="dot" w:pos="8296"/>
      </w:tabs>
      <w:spacing w:line="300" w:lineRule="auto"/>
      <w:ind w:left="420" w:right="0" w:firstLine="0"/>
    </w:pPr>
  </w:style>
  <w:style w:type="paragraph" w:styleId="13">
    <w:name w:val="Normal (Web)"/>
    <w:basedOn w:val="1"/>
    <w:qFormat/>
    <w:uiPriority w:val="0"/>
    <w:pPr>
      <w:jc w:val="left"/>
    </w:pPr>
    <w:rPr>
      <w:rFonts w:cs="Times New Roman"/>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customStyle="1" w:styleId="18">
    <w:name w:val="Internet 链接"/>
    <w:basedOn w:val="16"/>
    <w:unhideWhenUsed/>
    <w:qFormat/>
    <w:uiPriority w:val="99"/>
    <w:rPr>
      <w:color w:val="0563C1" w:themeColor="hyperlink"/>
      <w:u w:val="single"/>
      <w14:textFill>
        <w14:solidFill>
          <w14:schemeClr w14:val="hlink"/>
        </w14:solidFill>
      </w14:textFill>
    </w:rPr>
  </w:style>
  <w:style w:type="character" w:customStyle="1" w:styleId="19">
    <w:name w:val="页眉 Char"/>
    <w:basedOn w:val="16"/>
    <w:qFormat/>
    <w:uiPriority w:val="0"/>
    <w:rPr>
      <w:rFonts w:asciiTheme="minorHAnsi" w:hAnsiTheme="minorHAnsi" w:eastAsiaTheme="minorEastAsia" w:cstheme="minorBidi"/>
      <w:kern w:val="2"/>
      <w:sz w:val="18"/>
      <w:szCs w:val="18"/>
    </w:rPr>
  </w:style>
  <w:style w:type="character" w:customStyle="1" w:styleId="20">
    <w:name w:val="页脚 Char"/>
    <w:basedOn w:val="16"/>
    <w:qFormat/>
    <w:uiPriority w:val="0"/>
    <w:rPr>
      <w:rFonts w:asciiTheme="minorHAnsi" w:hAnsiTheme="minorHAnsi" w:eastAsiaTheme="minorEastAsia" w:cstheme="minorBidi"/>
      <w:kern w:val="2"/>
      <w:sz w:val="18"/>
      <w:szCs w:val="18"/>
    </w:rPr>
  </w:style>
  <w:style w:type="character" w:customStyle="1" w:styleId="21">
    <w:name w:val="索引链接"/>
    <w:qFormat/>
    <w:uiPriority w:val="0"/>
  </w:style>
  <w:style w:type="paragraph" w:customStyle="1" w:styleId="22">
    <w:name w:val="标题样式"/>
    <w:basedOn w:val="1"/>
    <w:next w:val="6"/>
    <w:qFormat/>
    <w:uiPriority w:val="0"/>
    <w:pPr>
      <w:keepNext/>
      <w:spacing w:before="240" w:after="120"/>
    </w:pPr>
    <w:rPr>
      <w:rFonts w:ascii="Liberation Sans" w:hAnsi="Liberation Sans" w:eastAsia="微软雅黑" w:cs="Arial"/>
      <w:sz w:val="28"/>
      <w:szCs w:val="28"/>
    </w:rPr>
  </w:style>
  <w:style w:type="paragraph" w:customStyle="1" w:styleId="23">
    <w:name w:val="索引"/>
    <w:basedOn w:val="1"/>
    <w:qFormat/>
    <w:uiPriority w:val="0"/>
    <w:pPr>
      <w:suppressLineNumbers/>
    </w:pPr>
    <w:rPr>
      <w:rFonts w:cs="Arial"/>
    </w:rPr>
  </w:style>
  <w:style w:type="paragraph" w:customStyle="1" w:styleId="24">
    <w:name w:val="列出段落11"/>
    <w:basedOn w:val="1"/>
    <w:qFormat/>
    <w:uiPriority w:val="0"/>
    <w:pPr>
      <w:ind w:left="0" w:right="0" w:firstLine="420"/>
    </w:pPr>
    <w:rPr>
      <w:rFonts w:ascii="Calibri" w:hAnsi="Calibri" w:eastAsia="宋体" w:cs="Times New Roman"/>
      <w:szCs w:val="22"/>
    </w:rPr>
  </w:style>
  <w:style w:type="paragraph" w:customStyle="1" w:styleId="25">
    <w:name w:val="_Style 1"/>
    <w:basedOn w:val="1"/>
    <w:qFormat/>
    <w:uiPriority w:val="34"/>
    <w:pPr>
      <w:ind w:left="0" w:right="0" w:firstLine="420"/>
    </w:pPr>
  </w:style>
  <w:style w:type="paragraph" w:customStyle="1" w:styleId="26">
    <w:name w:val="_Style 2"/>
    <w:basedOn w:val="1"/>
    <w:qFormat/>
    <w:uiPriority w:val="34"/>
    <w:pPr>
      <w:ind w:left="0" w:right="0" w:firstLine="420"/>
    </w:pPr>
  </w:style>
  <w:style w:type="paragraph" w:customStyle="1" w:styleId="27">
    <w:name w:val="列出段落1"/>
    <w:basedOn w:val="1"/>
    <w:qFormat/>
    <w:uiPriority w:val="0"/>
    <w:pPr>
      <w:ind w:left="0" w:right="0" w:firstLine="420"/>
    </w:pPr>
    <w:rPr>
      <w:rFonts w:ascii="Calibri" w:hAnsi="Calibri" w:eastAsia="宋体" w:cs="Times New Roman"/>
      <w:szCs w:val="22"/>
    </w:rPr>
  </w:style>
  <w:style w:type="paragraph" w:customStyle="1" w:styleId="28">
    <w:name w:val="WPSOffice手动目录 1"/>
    <w:qFormat/>
    <w:uiPriority w:val="0"/>
    <w:pPr>
      <w:widowControl w:val="0"/>
      <w:bidi w:val="0"/>
      <w:jc w:val="left"/>
    </w:pPr>
    <w:rPr>
      <w:rFonts w:ascii="Times New Roman" w:hAnsi="Times New Roman" w:eastAsia="宋体" w:cs="Times New Roman"/>
      <w:color w:val="auto"/>
      <w:kern w:val="0"/>
      <w:sz w:val="21"/>
      <w:szCs w:val="20"/>
      <w:lang w:val="en-US" w:eastAsia="zh-CN" w:bidi="ar-SA"/>
    </w:rPr>
  </w:style>
  <w:style w:type="paragraph" w:customStyle="1" w:styleId="29">
    <w:name w:val="WPSOffice手动目录 2"/>
    <w:qFormat/>
    <w:uiPriority w:val="0"/>
    <w:pPr>
      <w:widowControl w:val="0"/>
      <w:bidi w:val="0"/>
      <w:ind w:left="200" w:firstLine="0"/>
      <w:jc w:val="left"/>
    </w:pPr>
    <w:rPr>
      <w:rFonts w:ascii="Times New Roman" w:hAnsi="Times New Roman" w:eastAsia="宋体" w:cs="Times New Roman"/>
      <w:color w:val="auto"/>
      <w:kern w:val="0"/>
      <w:sz w:val="21"/>
      <w:szCs w:val="20"/>
      <w:lang w:val="en-US" w:eastAsia="zh-CN" w:bidi="ar-SA"/>
    </w:rPr>
  </w:style>
  <w:style w:type="paragraph" w:customStyle="1" w:styleId="30">
    <w:name w:val="WPSOffice手动目录 3"/>
    <w:qFormat/>
    <w:uiPriority w:val="0"/>
    <w:pPr>
      <w:widowControl w:val="0"/>
      <w:bidi w:val="0"/>
      <w:ind w:left="400" w:firstLine="0"/>
      <w:jc w:val="left"/>
    </w:pPr>
    <w:rPr>
      <w:rFonts w:ascii="Times New Roman" w:hAnsi="Times New Roman" w:eastAsia="宋体" w:cs="Times New Roman"/>
      <w:color w:val="auto"/>
      <w:kern w:val="0"/>
      <w:sz w:val="21"/>
      <w:szCs w:val="20"/>
      <w:lang w:val="en-US" w:eastAsia="zh-CN" w:bidi="ar-SA"/>
    </w:rPr>
  </w:style>
  <w:style w:type="paragraph" w:customStyle="1" w:styleId="31">
    <w:name w:val="TOC Heading"/>
    <w:basedOn w:val="2"/>
    <w:next w:val="1"/>
    <w:unhideWhenUsed/>
    <w:qFormat/>
    <w:uiPriority w:val="39"/>
    <w:pPr>
      <w:widowControl/>
      <w:spacing w:before="240" w:after="0" w:line="259" w:lineRule="auto"/>
      <w:jc w:val="left"/>
    </w:pPr>
    <w:rPr>
      <w:rFonts w:asciiTheme="majorHAnsi" w:hAnsiTheme="majorHAnsi" w:eastAsiaTheme="majorEastAsia" w:cstheme="majorBidi"/>
      <w:b w:val="0"/>
      <w:color w:val="2E75B6" w:themeColor="accent1" w:themeShade="BF"/>
      <w:kern w:val="0"/>
      <w:szCs w:val="32"/>
    </w:rPr>
  </w:style>
  <w:style w:type="paragraph" w:customStyle="1" w:styleId="32">
    <w:name w:val="框架内容"/>
    <w:basedOn w:val="1"/>
    <w:qFormat/>
    <w:uiPriority w:val="0"/>
  </w:style>
  <w:style w:type="paragraph" w:customStyle="1" w:styleId="33">
    <w:name w:val="表格内容"/>
    <w:basedOn w:val="1"/>
    <w:qFormat/>
    <w:uiPriority w:val="0"/>
    <w:pPr>
      <w:suppressLineNumbers/>
    </w:pPr>
  </w:style>
  <w:style w:type="paragraph" w:customStyle="1" w:styleId="34">
    <w:name w:val="表格标题"/>
    <w:basedOn w:val="33"/>
    <w:qFormat/>
    <w:uiPriority w:val="0"/>
    <w:pPr>
      <w:suppressLineNumbers/>
      <w:jc w:val="center"/>
    </w:pPr>
    <w:rPr>
      <w:b/>
      <w:bCs/>
    </w:rPr>
  </w:style>
  <w:style w:type="paragraph" w:customStyle="1" w:styleId="35">
    <w:name w:val="p15"/>
    <w:basedOn w:val="1"/>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1.xml"/><Relationship Id="rId4" Type="http://schemas.microsoft.com/office/2011/relationships/chartStyle" Target="style1.xml"/><Relationship Id="rId3" Type="http://schemas.openxmlformats.org/officeDocument/2006/relationships/image" Target="../media/image3.png"/><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 TargetMode="External"/></Relationships>
</file>

<file path=word/charts/_rels/chart4.xml.rels><?xml version="1.0" encoding="UTF-8" standalone="yes"?>
<Relationships xmlns="http://schemas.openxmlformats.org/package/2006/relationships"><Relationship Id="rId5" Type="http://schemas.microsoft.com/office/2011/relationships/chartColorStyle" Target="colors4.xml"/><Relationship Id="rId4" Type="http://schemas.microsoft.com/office/2011/relationships/chartStyle" Target="style4.xml"/><Relationship Id="rId3" Type="http://schemas.openxmlformats.org/officeDocument/2006/relationships/image" Target="../media/image4.png"/><Relationship Id="rId2" Type="http://schemas.openxmlformats.org/officeDocument/2006/relationships/themeOverride" Target="../theme/themeOverride4.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C:\Users\Administrator\Desktop\2016&#32423;&#27605;&#19994;&#29983;&#23601;&#19994;&#32479;&#35745;&#24037;&#20316;\&#23601;&#19994;&#25968;&#25454;&#26085;&#25253;&#34920;(9.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t>图</a:t>
            </a:r>
            <a:r>
              <a:rPr lang="en-US" altLang="zh-CN" sz="1200"/>
              <a:t>1 </a:t>
            </a:r>
            <a:r>
              <a:rPr sz="1200"/>
              <a:t>信息科学与工程学院2020届毕业生性别构成</a:t>
            </a:r>
            <a:endParaRPr sz="1200"/>
          </a:p>
        </c:rich>
      </c:tx>
      <c:layout/>
      <c:overlay val="0"/>
      <c:spPr>
        <a:noFill/>
        <a:ln>
          <a:noFill/>
        </a:ln>
        <a:effectLst/>
      </c:spPr>
    </c:title>
    <c:autoTitleDeleted val="0"/>
    <c:plotArea>
      <c:layout>
        <c:manualLayout>
          <c:layoutTarget val="inner"/>
          <c:xMode val="edge"/>
          <c:yMode val="edge"/>
          <c:x val="0.301944444444444"/>
          <c:y val="0.197222222222222"/>
          <c:w val="0.374444444444444"/>
          <c:h val="0.624074074074074"/>
        </c:manualLayout>
      </c:layout>
      <c:pieChart>
        <c:varyColors val="1"/>
        <c:ser>
          <c:idx val="0"/>
          <c:order val="0"/>
          <c:tx>
            <c:strRef>
              <c:f>[工作簿1]Sheet1!$B$1:$B$2</c:f>
              <c:strCache>
                <c:ptCount val="1"/>
                <c:pt idx="0">
                  <c:v>信息科学与工程学院2020届毕业生性别构成 人数</c:v>
                </c:pt>
              </c:strCache>
            </c:strRef>
          </c:tx>
          <c:spPr/>
          <c:explosion val="0"/>
          <c:dPt>
            <c:idx val="0"/>
            <c:bubble3D val="0"/>
            <c:spPr>
              <a:solidFill>
                <a:srgbClr val="E87071"/>
              </a:solidFill>
              <a:ln w="19050">
                <a:solidFill>
                  <a:schemeClr val="lt1"/>
                </a:solidFill>
              </a:ln>
              <a:effectLst/>
            </c:spPr>
          </c:dPt>
          <c:dPt>
            <c:idx val="1"/>
            <c:bubble3D val="0"/>
            <c:spPr>
              <a:solidFill>
                <a:srgbClr val="663A77"/>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[工作簿1]Sheet1!$A$3:$A$4</c:f>
              <c:strCache>
                <c:ptCount val="2"/>
                <c:pt idx="0">
                  <c:v>男</c:v>
                </c:pt>
                <c:pt idx="1">
                  <c:v>女</c:v>
                </c:pt>
              </c:strCache>
            </c:strRef>
          </c:cat>
          <c:val>
            <c:numRef>
              <c:f>[工作簿1]Sheet1!$B$3:$B$4</c:f>
              <c:numCache>
                <c:formatCode>General</c:formatCode>
                <c:ptCount val="2"/>
                <c:pt idx="0">
                  <c:v>298</c:v>
                </c:pt>
                <c:pt idx="1">
                  <c:v>84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875"/>
          <c:y val="0.411342592592593"/>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t>图</a:t>
            </a:r>
            <a:r>
              <a:rPr lang="en-US" altLang="zh-CN" sz="1200"/>
              <a:t>2 </a:t>
            </a:r>
            <a:r>
              <a:rPr sz="1200"/>
              <a:t>信息科学与工程学院2020届毕业生城乡生源</a:t>
            </a:r>
            <a:endParaRPr sz="1200"/>
          </a:p>
        </c:rich>
      </c:tx>
      <c:layout/>
      <c:overlay val="0"/>
      <c:spPr>
        <a:noFill/>
        <a:ln>
          <a:noFill/>
        </a:ln>
        <a:effectLst/>
      </c:spPr>
    </c:title>
    <c:autoTitleDeleted val="0"/>
    <c:plotArea>
      <c:layout>
        <c:manualLayout>
          <c:layoutTarget val="inner"/>
          <c:xMode val="edge"/>
          <c:yMode val="edge"/>
          <c:x val="0.300459674049311"/>
          <c:y val="0.25974025974026"/>
          <c:w val="0.408552723220504"/>
          <c:h val="0.692561983471074"/>
        </c:manualLayout>
      </c:layout>
      <c:pieChart>
        <c:varyColors val="1"/>
        <c:ser>
          <c:idx val="0"/>
          <c:order val="0"/>
          <c:tx>
            <c:strRef>
              <c:f>[工作簿1]Sheet1!$B$1:$B$2</c:f>
              <c:strCache>
                <c:ptCount val="1"/>
                <c:pt idx="0">
                  <c:v>信息科学与工程学院2020届毕业生城乡生源分布 人数</c:v>
                </c:pt>
              </c:strCache>
            </c:strRef>
          </c:tx>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[工作簿1]Sheet1!$A$3:$A$4</c:f>
              <c:strCache>
                <c:ptCount val="2"/>
                <c:pt idx="0">
                  <c:v>城镇户口</c:v>
                </c:pt>
                <c:pt idx="1">
                  <c:v>农村户口</c:v>
                </c:pt>
              </c:strCache>
            </c:strRef>
          </c:cat>
          <c:val>
            <c:numRef>
              <c:f>[工作簿1]Sheet1!$B$3:$B$4</c:f>
              <c:numCache>
                <c:formatCode>General</c:formatCode>
                <c:ptCount val="2"/>
                <c:pt idx="0">
                  <c:v>109</c:v>
                </c:pt>
                <c:pt idx="1">
                  <c:v>273</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
          <c:y val="0.0603333333333333"/>
          <c:w val="0.8913125"/>
          <c:h val="0.817111111111111"/>
        </c:manualLayout>
      </c:layout>
      <c:barChart>
        <c:barDir val="col"/>
        <c:grouping val="clustered"/>
        <c:varyColors val="0"/>
        <c:ser>
          <c:idx val="0"/>
          <c:order val="0"/>
          <c:tx>
            <c:strRef>
              <c:f>label 0</c:f>
              <c:strCache>
                <c:ptCount val="1"/>
                <c:pt idx="0">
                  <c:v>人数</c:v>
                </c:pt>
              </c:strCache>
            </c:strRef>
          </c:tx>
          <c:spPr>
            <a:solidFill>
              <a:srgbClr val="5B9BD5"/>
            </a:solidFill>
            <a:ln>
              <a:noFill/>
            </a:ln>
          </c:spPr>
          <c:invertIfNegative val="0"/>
          <c:dPt>
            <c:idx val="0"/>
            <c:invertIfNegative val="0"/>
            <c:bubble3D val="0"/>
            <c:spPr>
              <a:solidFill>
                <a:srgbClr val="5B9BD5"/>
              </a:solidFill>
              <a:ln>
                <a:noFill/>
              </a:ln>
            </c:spPr>
          </c:dPt>
          <c:dPt>
            <c:idx val="1"/>
            <c:invertIfNegative val="0"/>
            <c:bubble3D val="0"/>
            <c:spPr>
              <a:solidFill>
                <a:srgbClr val="5B9BD5"/>
              </a:solidFill>
              <a:ln>
                <a:noFill/>
              </a:ln>
            </c:spPr>
          </c:dPt>
          <c:dPt>
            <c:idx val="2"/>
            <c:invertIfNegative val="0"/>
            <c:bubble3D val="0"/>
            <c:spPr>
              <a:solidFill>
                <a:srgbClr val="5B9BD5"/>
              </a:solidFill>
              <a:ln>
                <a:noFill/>
              </a:ln>
            </c:spPr>
          </c:dPt>
          <c:dPt>
            <c:idx val="3"/>
            <c:invertIfNegative val="0"/>
            <c:bubble3D val="0"/>
            <c:spPr>
              <a:solidFill>
                <a:srgbClr val="5B9BD5"/>
              </a:solidFill>
              <a:ln>
                <a:noFill/>
              </a:ln>
            </c:spPr>
          </c:dPt>
          <c:dPt>
            <c:idx val="4"/>
            <c:invertIfNegative val="0"/>
            <c:bubble3D val="0"/>
            <c:spPr>
              <a:solidFill>
                <a:srgbClr val="5B9BD5"/>
              </a:solidFill>
              <a:ln>
                <a:noFill/>
              </a:ln>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5"/>
                <c:pt idx="0">
                  <c:v>计算机科学与技术</c:v>
                </c:pt>
                <c:pt idx="1">
                  <c:v>电子信息工程</c:v>
                </c:pt>
                <c:pt idx="2">
                  <c:v>通信工程</c:v>
                </c:pt>
                <c:pt idx="3">
                  <c:v>网络工程</c:v>
                </c:pt>
                <c:pt idx="4">
                  <c:v>电气工程及其自动化</c:v>
                </c:pt>
              </c:strCache>
            </c:strRef>
          </c:cat>
          <c:val>
            <c:numRef>
              <c:f>0</c:f>
              <c:numCache>
                <c:formatCode>General</c:formatCode>
                <c:ptCount val="5"/>
                <c:pt idx="0">
                  <c:v>59</c:v>
                </c:pt>
                <c:pt idx="1">
                  <c:v>65</c:v>
                </c:pt>
                <c:pt idx="2">
                  <c:v>80</c:v>
                </c:pt>
                <c:pt idx="3">
                  <c:v>62</c:v>
                </c:pt>
                <c:pt idx="4">
                  <c:v>92</c:v>
                </c:pt>
              </c:numCache>
            </c:numRef>
          </c:val>
        </c:ser>
        <c:dLbls>
          <c:showLegendKey val="0"/>
          <c:showVal val="1"/>
          <c:showCatName val="0"/>
          <c:showSerName val="0"/>
          <c:showPercent val="0"/>
          <c:showBubbleSize val="1"/>
        </c:dLbls>
        <c:gapWidth val="213"/>
        <c:overlap val="-56"/>
        <c:axId val="3507824"/>
        <c:axId val="43490987"/>
      </c:barChart>
      <c:catAx>
        <c:axId val="3507824"/>
        <c:scaling>
          <c:orientation val="minMax"/>
        </c:scaling>
        <c:delete val="0"/>
        <c:axPos val="b"/>
        <c:numFmt formatCode="[$-804]yyyy/m/d" sourceLinked="1"/>
        <c:majorTickMark val="none"/>
        <c:minorTickMark val="none"/>
        <c:tickLblPos val="nextTo"/>
        <c:spPr>
          <a:ln w="9360" cap="flat" cmpd="sng" algn="ctr">
            <a:solidFill>
              <a:srgbClr val="D9D9D9"/>
            </a:solidFill>
            <a:prstDash val="solid"/>
            <a:round/>
          </a:ln>
        </c:spPr>
        <c:txPr>
          <a:bodyPr rot="-60000000" spcFirstLastPara="0" vertOverflow="ellipsis" vert="horz" wrap="square" anchor="ctr" anchorCtr="1"/>
          <a:lstStyle/>
          <a:p>
            <a:pPr>
              <a:defRPr lang="zh-CN" sz="800" b="0" i="0" u="none" strike="noStrike" kern="1200" spc="-1" baseline="0">
                <a:solidFill>
                  <a:srgbClr val="595959"/>
                </a:solidFill>
                <a:latin typeface="Calibri" panose="020F0502020204030204"/>
                <a:ea typeface="+mn-ea"/>
                <a:cs typeface="+mn-cs"/>
              </a:defRPr>
            </a:pPr>
          </a:p>
        </c:txPr>
        <c:crossAx val="43490987"/>
        <c:crosses val="autoZero"/>
        <c:auto val="1"/>
        <c:lblAlgn val="ctr"/>
        <c:lblOffset val="100"/>
        <c:noMultiLvlLbl val="0"/>
      </c:catAx>
      <c:valAx>
        <c:axId val="43490987"/>
        <c:scaling>
          <c:orientation val="minMax"/>
        </c:scaling>
        <c:delete val="0"/>
        <c:axPos val="l"/>
        <c:majorGridlines>
          <c:spPr>
            <a:ln w="9360" cap="flat" cmpd="sng" algn="ctr">
              <a:solidFill>
                <a:srgbClr val="D9D9D9"/>
              </a:solidFill>
              <a:prstDash val="solid"/>
              <a:round/>
            </a:ln>
          </c:spPr>
        </c:majorGridlines>
        <c:numFmt formatCode="General" sourceLinked="0"/>
        <c:majorTickMark val="none"/>
        <c:minorTickMark val="none"/>
        <c:tickLblPos val="nextTo"/>
        <c:spPr>
          <a:ln w="6480" cap="flat" cmpd="sng" algn="ctr">
            <a:noFill/>
            <a:prstDash val="solid"/>
            <a:round/>
          </a:ln>
        </c:spPr>
        <c:txPr>
          <a:bodyPr rot="-60000000" spcFirstLastPara="0" vertOverflow="ellipsis" vert="horz" wrap="square" anchor="ctr" anchorCtr="1"/>
          <a:lstStyle/>
          <a:p>
            <a:pPr>
              <a:defRPr lang="zh-CN" sz="900" b="0" i="0" u="none" strike="noStrike" kern="1200" spc="-1" baseline="0">
                <a:solidFill>
                  <a:srgbClr val="595959"/>
                </a:solidFill>
                <a:latin typeface="Calibri" panose="020F0502020204030204"/>
                <a:ea typeface="+mn-ea"/>
                <a:cs typeface="+mn-cs"/>
              </a:defRPr>
            </a:pPr>
          </a:p>
        </c:txPr>
        <c:crossAx val="3507824"/>
        <c:crosses val="autoZero"/>
        <c:crossBetween val="between"/>
      </c:valAx>
      <c:spPr>
        <a:noFill/>
        <a:ln>
          <a:noFill/>
        </a:ln>
      </c:spPr>
    </c:plotArea>
    <c:plotVisOnly val="1"/>
    <c:dispBlanksAs val="gap"/>
    <c:showDLblsOverMax val="0"/>
  </c:chart>
  <c:spPr>
    <a:solidFill>
      <a:srgbClr val="FFFFFF"/>
    </a:solidFill>
    <a:ln w="9360" cap="flat" cmpd="sng" algn="ctr">
      <a:solidFill>
        <a:srgbClr val="D9D9D9"/>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2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t>图</a:t>
            </a:r>
            <a:r>
              <a:rPr lang="en-US" altLang="zh-CN" sz="1200"/>
              <a:t>3 </a:t>
            </a:r>
            <a:r>
              <a:rPr sz="1200"/>
              <a:t>信息科学与工程学院2020届毕业生各专业人数</a:t>
            </a:r>
            <a:endParaRPr sz="1200"/>
          </a:p>
        </c:rich>
      </c:tx>
      <c:layout>
        <c:manualLayout>
          <c:xMode val="edge"/>
          <c:yMode val="edge"/>
          <c:x val="0.178333333333333"/>
          <c:y val="0.03125"/>
        </c:manualLayout>
      </c:layout>
      <c:overlay val="0"/>
      <c:spPr>
        <a:noFill/>
        <a:ln>
          <a:noFill/>
        </a:ln>
        <a:effectLst/>
      </c:spPr>
    </c:title>
    <c:autoTitleDeleted val="0"/>
    <c:plotArea>
      <c:layout>
        <c:manualLayout>
          <c:layoutTarget val="inner"/>
          <c:xMode val="edge"/>
          <c:yMode val="edge"/>
          <c:x val="0.08675"/>
          <c:y val="0.188773148148148"/>
          <c:w val="0.859777777777778"/>
          <c:h val="0.595115740740741"/>
        </c:manualLayout>
      </c:layout>
      <c:barChart>
        <c:barDir val="col"/>
        <c:grouping val="clustered"/>
        <c:varyColors val="0"/>
        <c:ser>
          <c:idx val="0"/>
          <c:order val="0"/>
          <c:tx>
            <c:strRef>
              <c:f>[工作簿1]Sheet1!$B$1:$B$2</c:f>
              <c:strCache>
                <c:ptCount val="1"/>
                <c:pt idx="0">
                  <c:v>信息科学与工程学院2020届毕业生各专业人数 人数</c:v>
                </c:pt>
              </c:strCache>
            </c:strRef>
          </c:tx>
          <c:spPr>
            <a:solidFill>
              <a:srgbClr val="76BCB5"/>
            </a:solidFill>
            <a:ln w="15875">
              <a:solidFill>
                <a:schemeClr val="bg1"/>
              </a:solidFill>
            </a:ln>
            <a:effectLst>
              <a:outerShdw blurRad="50800" dist="38100" dir="2700000" algn="tl" rotWithShape="0">
                <a:prstClr val="black">
                  <a:alpha val="40000"/>
                </a:prstClr>
              </a:outerShdw>
            </a:effectLst>
          </c:spPr>
          <c:invertIfNegative val="0"/>
          <c:dLbls>
            <c:delete val="1"/>
          </c:dLbls>
          <c:cat>
            <c:strRef>
              <c:f>[工作簿1]Sheet1!$A$3:$A$7</c:f>
              <c:strCache>
                <c:ptCount val="5"/>
                <c:pt idx="0">
                  <c:v>计算机科学与技术</c:v>
                </c:pt>
                <c:pt idx="1">
                  <c:v>网络工程</c:v>
                </c:pt>
                <c:pt idx="2">
                  <c:v>电子信息工程</c:v>
                </c:pt>
                <c:pt idx="3">
                  <c:v>通信工程</c:v>
                </c:pt>
                <c:pt idx="4">
                  <c:v>电气工程及其自动化</c:v>
                </c:pt>
              </c:strCache>
            </c:strRef>
          </c:cat>
          <c:val>
            <c:numRef>
              <c:f>[工作簿1]Sheet1!$B$3:$B$7</c:f>
              <c:numCache>
                <c:formatCode>General</c:formatCode>
                <c:ptCount val="5"/>
                <c:pt idx="0">
                  <c:v>77</c:v>
                </c:pt>
                <c:pt idx="1">
                  <c:v>65</c:v>
                </c:pt>
                <c:pt idx="2">
                  <c:v>69</c:v>
                </c:pt>
                <c:pt idx="3">
                  <c:v>73</c:v>
                </c:pt>
                <c:pt idx="4">
                  <c:v>98</c:v>
                </c:pt>
              </c:numCache>
            </c:numRef>
          </c:val>
        </c:ser>
        <c:dLbls>
          <c:showLegendKey val="0"/>
          <c:showVal val="0"/>
          <c:showCatName val="0"/>
          <c:showSerName val="0"/>
          <c:showPercent val="0"/>
          <c:showBubbleSize val="0"/>
        </c:dLbls>
        <c:gapWidth val="219"/>
        <c:overlap val="-57"/>
        <c:axId val="168647682"/>
        <c:axId val="300318982"/>
      </c:barChart>
      <c:catAx>
        <c:axId val="16864768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300318982"/>
        <c:crosses val="autoZero"/>
        <c:auto val="1"/>
        <c:lblAlgn val="ctr"/>
        <c:lblOffset val="100"/>
        <c:noMultiLvlLbl val="0"/>
      </c:catAx>
      <c:valAx>
        <c:axId val="300318982"/>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10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68647682"/>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sz="1000">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08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sz="1200"/>
              <a:t>图</a:t>
            </a:r>
            <a:r>
              <a:rPr lang="en-US" altLang="zh-CN" sz="1200"/>
              <a:t>4 </a:t>
            </a:r>
            <a:r>
              <a:rPr altLang="en-US" sz="1200"/>
              <a:t>信息科学与工程学院毕业生继续深造情况</a:t>
            </a:r>
            <a:endParaRPr altLang="en-US" sz="1200"/>
          </a:p>
        </c:rich>
      </c:tx>
      <c:layout/>
      <c:overlay val="0"/>
      <c:spPr>
        <a:noFill/>
        <a:ln>
          <a:noFill/>
        </a:ln>
        <a:effectLst/>
      </c:spPr>
    </c:title>
    <c:autoTitleDeleted val="0"/>
    <c:plotArea>
      <c:layout>
        <c:manualLayout>
          <c:layoutTarget val="inner"/>
          <c:xMode val="edge"/>
          <c:yMode val="edge"/>
          <c:x val="0.300459674049311"/>
          <c:y val="0.25974025974026"/>
          <c:w val="0.408552723220504"/>
          <c:h val="0.692561983471074"/>
        </c:manualLayout>
      </c:layout>
      <c:pieChart>
        <c:varyColors val="1"/>
        <c:ser>
          <c:idx val="0"/>
          <c:order val="0"/>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'[就业数据日报表(9.24).xls]初次就业率'!$M$4:$N$4</c:f>
              <c:strCache>
                <c:ptCount val="2"/>
                <c:pt idx="0">
                  <c:v>国内升学</c:v>
                </c:pt>
                <c:pt idx="1">
                  <c:v>出国出境深造</c:v>
                </c:pt>
              </c:strCache>
            </c:strRef>
          </c:cat>
          <c:val>
            <c:numRef>
              <c:f>'[就业数据日报表(9.24).xls]初次就业率'!$M$5:$N$5</c:f>
              <c:numCache>
                <c:formatCode>General</c:formatCode>
                <c:ptCount val="2"/>
                <c:pt idx="0">
                  <c:v>44</c:v>
                </c:pt>
                <c:pt idx="1">
                  <c:v>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sz="90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7232</Words>
  <Characters>8166</Characters>
  <Paragraphs>546</Paragraphs>
  <TotalTime>6</TotalTime>
  <ScaleCrop>false</ScaleCrop>
  <LinksUpToDate>false</LinksUpToDate>
  <CharactersWithSpaces>8334</CharactersWithSpaces>
  <Application>WPS Office_11.1.0.10228_F1E327BC-269C-435d-A152-05C5408002CA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2019-01-10T08:32:00Z</dcterms:created>
  <dc:creator>Mr.Sea</dc:creator>
  <cp:lastModifiedBy>何何何</cp:lastModifiedBy>
  <cp:lastPrinted>2020-12-30T04:19:00Z</cp:lastPrinted>
  <dcterms:modified xsi:type="dcterms:W3CDTF">2020-12-30T12:47:13Z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2052-11.1.0.10228</vt:lpwstr>
  </property>
  <property fmtid="{D5CDD505-2E9C-101B-9397-08002B2CF9AE}" pid="4" name="KSORubyTemplateID">
    <vt:lpwstr>6</vt:lpwstr>
  </property>
  <property fmtid="{D5CDD505-2E9C-101B-9397-08002B2CF9AE}" pid="5" name="LinksUpToDate">
    <vt:bool>false</vt:bool>
  </property>
  <property fmtid="{D5CDD505-2E9C-101B-9397-08002B2CF9AE}" pid="6" name="ScaleCrop">
    <vt:bool>false</vt:bool>
  </property>
</Properties>
</file>